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48" w:rsidRPr="009D3A48" w:rsidRDefault="009D3A48" w:rsidP="009D3A48">
      <w:pPr>
        <w:spacing w:after="0" w:line="384" w:lineRule="auto"/>
        <w:jc w:val="center"/>
        <w:outlineLvl w:val="5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9D3A4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PRAVILNIK</w:t>
      </w:r>
    </w:p>
    <w:p w:rsidR="009D3A48" w:rsidRPr="009D3A48" w:rsidRDefault="009D3A48" w:rsidP="009D3A48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</w:pPr>
      <w:r w:rsidRPr="009D3A48"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  <w:t>O BUDŽETSKOM RAČUNOVODSTVU I RAČUNOVODSTVENIM POLITIKAMA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i/>
          <w:iCs/>
          <w:kern w:val="0"/>
          <w:sz w:val="26"/>
          <w:szCs w:val="26"/>
          <w:lang w:val="sr-Cyrl-RS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("Sl. list grada Niša", br. 9/2021)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Osnovne odredbe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clan_1"/>
      <w:bookmarkEnd w:id="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Ovim pravilnikom o budžetskom računovodstvu i računovodstvenim politikama u skladu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Zakonom o budžetskom sistemu, Uredbom o budžetskom računovodstvu i propisima kojima je uređeno finansijsko poslovanje, devizno poslovanje i poreski sistem se uređuje: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 Vođenje budžetskog računovodstva, i to: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1.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organizacija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budžetskog računovodstva;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2.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osnova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za vođenje budžetskog računovodstva;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3.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poslovne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knjige;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4.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računovodstvene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isprave;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II Imenovanje lica koja su odgovorna za zakonitost, ispravnost i sastavljanje računovodstvenih isprava o nastaloj poslovnoj promeni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drugom događaju;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III Kretanje računovodstvenih isprava i rokovi za njihovo sastavljanje i dostavljanje;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IV Interni računovodstveni kontrolni postupci;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 Priznavanje, procenjivanje i prezentacija pozicija finansijskih izveštaja - Računovodstvene politike;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VI Usklađivanje poslovnih knjiga, popis imovine i obaveza i usaglašavanje potraživanja i obaveza;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VII Zaključivanje i čuvanje poslovnih knjiga i računovodstvenih isprava;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VIII Budžetsko izveštavanje;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IX Utvrđivanje odgovornosti zaposlenih u budžetskom računovodstvu;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X Završne odredbe. </w:t>
      </w:r>
    </w:p>
    <w:p w:rsid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sr-Cyrl-RS"/>
          <w14:ligatures w14:val="none"/>
        </w:rPr>
      </w:pPr>
      <w:bookmarkStart w:id="1" w:name="clan_2"/>
      <w:bookmarkEnd w:id="1"/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_GoBack"/>
      <w:bookmarkEnd w:id="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Član 2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Pod budžetskim računovodstvom u smislu ovog pravilnika podrazumeva se osnov i uslovi vođenja poslovnih knjiga i drugih evidencija sa dokumentacijom na osnovu koje se evidentiraju sve transakcije i drugi događaji koji iskazuju stanje i promene imovine, potraživanja, obaveza, izvora finansiranja, rashoda i izdataka, prihoda i primanja, kao i utvrđivanje rezultata poslovanja.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3" w:name="str_1"/>
      <w:bookmarkEnd w:id="3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 VOĐENJE BUDŽETSKOG RAČUNOVODSTVA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" w:name="str_2"/>
      <w:bookmarkEnd w:id="4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1. Organizacija budžetskog računovodstva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" w:name="clan_3"/>
      <w:bookmarkEnd w:id="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Poslovi budžetskog računovodstva obavljaju se u okviru jedinstvenog organizacionog dela kao međusobno povezani poslovi, utvrđeni aktom o unutrašnjoj organizaciji i sistematizaciji radnih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mesta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" w:name="clan_4"/>
      <w:bookmarkEnd w:id="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Poslovi budžetskog računovodstva se organizuju i obavljaju u Gradskoj Upravi za finansije za sve direktne korisnike koji su određeni Zakonom o budžetskom sistemu i Odlukom o budžetu Grada Niša.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Indirektni korisnici poslove budžetskog računovodstva organizuju i obavljaju samostalno.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" w:name="clan_5"/>
      <w:bookmarkEnd w:id="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Poslove budžetskog računovodstva u organizacionom delu zaduženom za budžetsko računovodstvo obavljaju stručna lica koja su raspoređena za obavljanje ovih poslova u skladu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aktom o unutrašnjoj organizaciji i sistematizaciji radnih mesta.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" w:name="str_3"/>
      <w:bookmarkEnd w:id="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2. Osnova za vođenje budžetskog računovodstva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" w:name="clan_6"/>
      <w:bookmarkEnd w:id="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6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Vođenje budžetskog računovodstva zasniva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gotovinskoj osnovi po kojoj se transakcije i ostali događaji evidentiraju u trenutku kada se gotovinska sredstva prime, odnosno isplate, u skladu sa Međunarodnim računovodstvenim standardom za javni sektor, u delu koji se odnosi na gotovinsku osnovu.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Računovodstvene evidencije za potrebe internog izveštavanja mogu se voditi prema obračunskoj osnovi, pod uslovom da se finansijski izveštaji izrađuju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gotovinskoj osnovi radi konsolidovanog izveštavanja (za direktne korisnike koji u svojoj nadležnosti imaju indirektne korisnike).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" w:name="str_4"/>
      <w:bookmarkEnd w:id="1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3. Poslovne knjige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" w:name="clan_7"/>
      <w:bookmarkEnd w:id="11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7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>Poslovne knjige su sveobuhvatne evidencije o finansijskim transakcijama, kojima se obezbeđuje uvid u stanje i kretanje imovine, potraživanja, obaveza, izvora finansiranja, rashoda i izdataka, prihoda i primanja i rezultata poslovanja.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Poslovne knjige se vode po sistemu dvojnog knjigovodstva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subanalitičkim (šestocifrenim) kontima, propisanim pravilnikom kojim se uređuje standardni klasifikacioni okvir i kontni plan za budžetski sistem.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" w:name="clan_8"/>
      <w:bookmarkEnd w:id="1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8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Poslovne knjige čine: dnevnik, glavna knjiga i pomoćne knjige i evidencije.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Dnevnik je obavezna poslovna knjiga u kojoj se hornološki i sistematično evidentiraju sve nastale poslovne promene u poslovanju.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Glavna knjiga sadrži sve poslovne promene sistematizovane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propisanim šestocifrenim kontima.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Analitičko raščlanjivanje subanalitičkih konta vrši rukovodilac računovodstva.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Osim navedenih knjiga u budžetskom računovodstvu vode se i druge knjige koje odrede lica odgovorna za poslove trezora i budžetskog računovodstva i izveštavanja.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" w:name="clan_9"/>
      <w:bookmarkEnd w:id="1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9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Glavna knjiga trezora Grada Niša vodi se u Gradskoj Upravi za finansije u organizacionom delu zaduženom za budžetsko računovodstvo.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Glavna knjiga trezora sadrži računovodstvene evidencije za svakog direktnog i indirektnog korisnika i predstavlja osnovu za sastavljanje konsolidovanih finansijskih izveštaja.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Indirektni korisnici budžetskih sredstava koji svoje finansijsko poslovanje obavljaju preko svojih podračuna, vode glavnu knjigu i izrađuju finansijske izveštaje propisane pravilnikom kojim se uređuje priprema, sastavljanje i podnošenje finansijskih izveštaja korisnika budžetskih sredstava.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Direktni korisnici budžetskih sredstava vode pomoćne knjige i evidencije.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Direktni i indirektni korisnici budžetskih sredstava dužni su da svoje evidencije usaglašavaju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glavnom knjigom na tromesečnom nivou (periodično i godišnje).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" w:name="clan_10"/>
      <w:bookmarkEnd w:id="14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10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Pomoćne knjige su analitičke evidencije koje su subanalitičkim kontima povezane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glavnom knjigom i vode se u cilju obezbeđenja analitičkih podataka u izvršavanju određenih namena i praćenja stanja i kretanja imovine i obaveza.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Pomoćne knjige i evidencije obuhvataju: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1.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knjigu kupaca koja obezbeđuje podatke o svim potraživanjima od kupaca;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2.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knjigu dobavljača koja obezbeđuje podatke o svim obavezama prema dobavljačima;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3.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knjigu osnovnih sredstava koja obezbeđuje detaljne podatke o svim osnovnim sredstvima definisane Pravilnikom o nomenklaturi nematerijalnih ulaganja i osnovnih sredstava sa stopama amortizacije;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4.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knjigu plata koja obezbeđuje detaljne podatke iz obračuna o svim pojedinačnim isplatama za svakog zaposlenog;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5.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ostale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pomoćne knjige.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Pomoćne evidencije obuhvataju: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1.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evidenciju izvršenih isplata;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2.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evidenciju ostvarenih priliva;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3.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evidenciju plasmana;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4.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pomoćnu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evidenciju duga;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5.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ostale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pomoćne evidencije po potrebi.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" w:name="clan_11"/>
      <w:bookmarkEnd w:id="1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Vođenje poslovnih knjiga mora biti uredno, ažurno i da obezbedi uvid u hronološko knjiženje transakcija i drugih poslovnih događaja.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Računovodstvena isprava se knjiži istog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dana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kada je primljena, a najkasnije narednog dana od dana prijema.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" w:name="clan_12"/>
      <w:bookmarkEnd w:id="1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12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Poslovne knjige imaju karakter javnih isprava.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Poslovne knjige se vode za period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jedne budžetske godine, izuzev pojedinih pomoćnih knjiga koje se mogu voditi za period duži od jedne godine.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" w:name="clan_13"/>
      <w:bookmarkEnd w:id="1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13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Poslovne knjige se vode u slobodnim listovima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u elektronskom obliku, pri čemu je obavezno korišćenje softvera koji obezbeđuje očuvanje podataka o svim proknjiženim transakcijama, a omogućava funkcionisanje sistema internih računovodstvenih kontrola i onemogućava neovlašćeno brisanje proknjiženih poslovnih promena.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" w:name="str_5"/>
      <w:bookmarkEnd w:id="1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4. Računovodstvene isprave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" w:name="clan_14"/>
      <w:bookmarkEnd w:id="1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Član 14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Računovodstvena isprava je javna isprava koja predstavlja pisani dokument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elektronski zapis o nastaloj poslovnoj promeni, koja obuhvata sve podatke potrebne za knjiženje u poslovnim knjigama tako da se iz računovodstvene isprave nedvosmisleno može saznati osnov, vrsta i sadržaj poslovne promene.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Računovodstvenom ispravom smatraju se i računovodstvene isprave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osnovu kojih se vrši knjiženje u poslovnim knjigama, kao što su: odluke, rešenja o likvidaciji manjkova i viškova po popisu, zapisnici o usaglašavanju potraživanja i obaveza, obračuni, pregledi, specifikacije i dr.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" w:name="clan_15"/>
      <w:bookmarkEnd w:id="2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15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Validnom računovodstvenom ispravom smatra se i isprava dobijena telekomunikacionim putem u elektronskom, magnetnom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drugom obliku, u kom slučaju je pošiljalac odgovoran da podaci na ulazu u telekomunikacioni prenos budu zasnovani na računovodstvenim ispravama, kao i za čuvanje originalne isprave.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1" w:name="str_6"/>
      <w:bookmarkEnd w:id="21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II IMENOVANJE LICA KOJA SU ODGOVORNA ZA ZAKONITOST, ISPRAVNOST I SASTAVLJANJE RAČUNOVODSTVENIH ISPRAVA O NASTALOJ POSLOVNOJ PROMENI ILI DRUGOM DOGAĐAJU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2" w:name="clan_16"/>
      <w:bookmarkEnd w:id="2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16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Za sastavljanje računovodstvene isprave odgovoran je zaposleni koji učestvuje u sastavljanju računovodstvene isprave i svojim potpisom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računovodstvenoj ispravi potvrđuje da je verodostojna, potpuna i tačna.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Rukovodilac korisnika budžetskih sredstava (rukovodilac direktnog korisnika i rukovodilac indirektnog korisnika) odnosno lice ovlašćeno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strane rukovodioca korisnika budžetskih sredstava odgovorni su za upravljanje sredstvima, preuzimanje obaveza, izdavanje naloga za plaćanje koji se izvršavaju iz sredstava budžeta, kao i za zakonitost računovodstvenih isprava što potvrđuju svojim potpisom.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Za kontrolu zakonitosti i ispravnosti računovodstvene isprave za nastalu transakciju i poslovni događaj odgovoran je zaposleni koji vrši kontrolu računovodstvenih isprava i dužan je da svojim potpisom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računovodstvenoj ispravi potvrđuje da je ispravna, verodostojna i zakonita.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Funkcije navedene u stavu 1, 2.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3.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člana ne mogu se poklapati.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3" w:name="str_7"/>
      <w:bookmarkEnd w:id="23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III KRETANJE RAČUNOVODSTVENIH ISPRAVA I ROKOVI ZA NJIHOVO DOSTAVLJANJE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4" w:name="clan_17"/>
      <w:bookmarkEnd w:id="24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17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Tok kretanja računovodstvenih isprava podrazumeva prenos i uslove prenosa računovodstvenih isprava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mesta njihovog sastavljanja, odnosno ulaska eksternog dokumenta u pisarnicu budžetskog korisnika, preko mesta obrade i kontrole, do mesta knjiženja i arhiviranja.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5" w:name="clan_18"/>
      <w:bookmarkEnd w:id="2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18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Računovodstvena isprava sastavlja se i overava kod organa grada u kojoj je nastala poslovna promena i putem dostavne knjige dostavlja se na knjiženje narednog dana, a najkasnije u roku od dva dana od dana nastanka poslovne promene i drugog događaja.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6" w:name="clan_19"/>
      <w:bookmarkEnd w:id="2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19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Računovodstvena isprava pre knjiženja u poslovnim knjigama mora biti potpisana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strane lica odgovornog za nastalu poslovnu promenu i drugi događaj, lica koje ispravu sastavilo i lica koje je ispravu kontrolisalo.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Lica iz stava 1.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člana svojim potpisom na ispravi garantuju da je isprava istinita i da verno prikazuje poslovnu promenu.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7" w:name="clan_20"/>
      <w:bookmarkEnd w:id="2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20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Osnovni podaci koje treba da sadrži računovodstvena isprava su sledeći: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naziv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budžetskog korisnika;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naziv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 broj isprave;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mesto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 datum izdavanja isprave;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sadržina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poslovne promene;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vrednost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na koju glasi isprava;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poslovi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koji su povezani sa ispravom;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ime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lica koje je sastavilo ispravu;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ime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lica koje je overilo ispravnost isprave i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potpis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odgovornog ili ovlašćenog lica.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8" w:name="str_8"/>
      <w:bookmarkEnd w:id="28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IV INTERNI RAČUNOVODSTVENI KONTROLNI POSTUPCI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9" w:name="clan_21"/>
      <w:bookmarkEnd w:id="2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Pod internim računovodstvenim kontrolnim postupcima, u smislu ovog pravilnika, podrazumevaju se postupci vršenja interne kontrole računovodstvenih isprava.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>U postupcima interne kontrole kontrolišu se računovodstvene isprave u pogledu zakonitosti, potpunosti, istinitosti i tačnosti podataka sadržanih u njima.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0" w:name="clan_22"/>
      <w:bookmarkEnd w:id="3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22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Postupak interne kontrole podrazumeva: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kontrolu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ispravnosti korišćenja budžetskih aproprijacija i kvota u skladu sa Odlukom o budžetu Grada Niša;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kontrolu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dokumentovanosti poslovnih promena;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proveru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ispravnosti i tačnosti podnetih zahteva;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proveru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tačnosti ekonomske klasifikacije;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overu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transakcije i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odobrenje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transakcije.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1" w:name="clan_23"/>
      <w:bookmarkEnd w:id="31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23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Interni računovodstveni kontrolni postupci se vode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način propisan Uputstvom o radu trezora Grada Niša.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32" w:name="str_9"/>
      <w:bookmarkEnd w:id="32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V PRIZNAVANJE, PROCENJIVANJE I PREZENTACIJA POZICIJA FINANSIJSKIH IZVEŠTAJA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3" w:name="clan_24"/>
      <w:bookmarkEnd w:id="3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24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Priznavanje, procenjivanje i prezentacija pozicija finansijskih izveštaja vrši se u skladu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računovodstvenim politikama.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4" w:name="str_10"/>
      <w:bookmarkEnd w:id="34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Računovodstvene politike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5" w:name="clan_25"/>
      <w:bookmarkEnd w:id="3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25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Računovodstvene politike predstavljaju načela, pravila i osnove koje se primenjuju pri sastavljanju i prezentovanju računovodstvenih izveštaja.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Računovodstvene politike budžeta Grada Niša predstavljaju zbir računovodstvenih politika korisnika budžetskih sredstava budžeta Grada Niša.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Osnova za vođenje budžetskog računovodstva je gotovinska osnova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propisanim šestocifrenim subanalitičkim kontima u skladu sa Pravilnikom o standardnom klasifikacionom okviru i kontnom planu za budžetski sistem. Korisnik budžetskih sredstva Grada Niša može ukoliko propisana subanalitička konta ne zadovoljavaju njegovu potrebu obezbediti evidenciju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subsubanalitičkom nivou.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Finansijski izveštaji u računovodstvu budžeta, odnosno trezora Grada Niša, sastavljaju se na gotovinskoj osnovi, a u skladu sa međunarodnim standardima za javni sektor na propisanim subanalitičkim kontima sadržanim u kontnom planu pravilnika kojim se uređuje standardni klasifikacioni okvir i kontni plan za budžetski sistem i u skladu sa Pravilnikom o načinu pripreme, sastavljanju i podnošenju finansijskih izveštaja korisnika budžetskih sredstava, korisnika sredstava organizacija za obavezno socijalno osiguranje i budžetskih fondova.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6" w:name="str_11"/>
      <w:bookmarkEnd w:id="3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Tekući prihodi i primanja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7" w:name="clan_26"/>
      <w:bookmarkEnd w:id="3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26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Tekući prihodi obuhvataju poreze (porezi na dohodak, dobit i kapitalne dobitke, porez na imovinu, porez na dobra i usluge i druge poreze), donacije (kapitalne i tekuće) kao bespovratno primljena sredstva od međunarodnih i domaćih organizacija za finansiranje pojedinih namena i za finansiranje redovne delatnosti, transfere sa drugih nivoa vlasti, druge prihode (prihode od imovine, prihode od prodaje dobara i usluga, novčane kazne i oduzeta imovinska korist, dobrovoljne transfere od fizičkih i pravnih lica i mešovite i neodređene prihode), memorandumske stavke za refundiranje rashoda i transfere između budžetskih korisnika na istom nivou i prihode iz budžeta.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Primanja se odnose na primanja od prodaje nefinansijske imovine (primanja od prodaje osnovnih sredstava, zaliha i dragocenosti) i primanja od zaduživanja (primanja od domaćih i inostranog zaduživanja) i primanja od prodaje finansijske imovine (primanja od prodaje domaće i strane finansijske imovine, što obuhvata i sredstva od prodaje kapitala u postupku privatizacije).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8" w:name="clan_27"/>
      <w:bookmarkEnd w:id="3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27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Tekući prihodi i primanja se, shodno gotovinskoj osnovi, utvrđuju u momentu naplate, odnosno priliva sredstava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račun budžeta Grada Niša.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Obračunati nenaplaćeni tekući prihodi evidentiraju se u okviru pasivnih vremenskih razgraničenja.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Povraćaj neutrošenih budžetskih sredstava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strane budžetskih korisnika evidentira se u glavnoj knjizi trezora kao storno rashoda, a u korist potraživanja od budžetskih korisnika, a kod budžetskog korisnika kao storno prihoda i u korist obaveze prema budžetu Grada Niša, ukoliko je promena nastala u tekućoj budžetskoj godini.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9" w:name="str_12"/>
      <w:bookmarkEnd w:id="3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Tekući rashodi i izdaci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0" w:name="clan_28"/>
      <w:bookmarkEnd w:id="4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28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Tekući rashodi obuhvataju: rashode za zaposlene, korišćenje usluga i roba, amortizaciju i upotrebu sredstava za rad, rashode kamata i troškova zaduživanja, subvencije, donacije, dotacije i transfere i ostale rashode.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Izdaci se odnose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izdatke za nefinansijsku imovinu (izdatke za nabavku osnovnih sredstava, zaliha, dragocenosti i prirodne imovine) i izdatke za nabavku finansijske imovine.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1" w:name="clan_29"/>
      <w:bookmarkEnd w:id="41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Član 29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Tekući rashodi i izdaci se evidentiraju u momentu kada je plaćanje izvršeno.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Rashodi koji su unapred plaćeni, shodno gotovinskoj osnovi, evidentiraju se u kategoriji rashoda prema određenoj nameni.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2" w:name="str_13"/>
      <w:bookmarkEnd w:id="4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Nefinansijska imovina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Nefinansijska imovina u stalnim sredstvima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3" w:name="clan_30"/>
      <w:bookmarkEnd w:id="4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30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Stalna sredstva koja se odnose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nekretnine i opremu, dragocenosti, prirodnu imovinu i nefinansijsku imovinu u pripremi se evidentiraju po nabavnoj vrednosti. Nabavnu vrednost čini fakturna vrednost uvećana za zavisne troškove nastale do momenta stavljanja u upotrebu.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Izvršene nabavke tokom godine povećavaju sredstva i izvore kapitala.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Stalnim sredstvima smatraju se ona sredstva čiji je očekivani korisni vek upotrebe duži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jedne godine.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Amortizacija stalne nefinansijske imovine - osnovnih sredstava, obračunava se za svako sredstvo pojedinačno shodno zakonom propisanim stopama koje su određene tako da se nabavna vrednost osnovnih sredstava amortizuje primenom proporcionalne metode u toku predviđenog veka upotrebe osnovnog sredstva.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Stope amortizacije su propisane Pravilnikom o nomenklaturi nematerijalnih ulaganja i osnovnih sredstava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stopama amortizacije.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Obračun amortizacije osnovnih sredstava se vrši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prvog u narednom mesecu u odnosu na mesec nabavke, a prilikom otuđivanja/rashodovanja amortizacija se vrši do kraja meseca u kome je osnovno sredstvo otuđeno/rashodovano.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Jednom otpisano osnovno sredstvo, bez obzira što se i dalje koristi, ne može biti predmet ponovnog procenjivanja vrednosti.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Za nefinansijsku imovinu koja se rashoduje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otuđuje, pre isknjiženja iz knjigovodstvene evidencije vrši se obračun amortizacije, nakon čega se isknjižava zaduženjem odgovarajućeg konta ispravke vrednosti za iznos otpisane vrednosti i konta izvora nefinansijske imovine u stalnim sredstvima za iznos neotpisane (sadašnje) vrednosti, a odobravanjem odgovarajućeg konta nefinansijske imovine za iznos nabavne vrednosti. Iznos sredstava za koji se proda nefinansijska imovina evidentira se u korist primanja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prodaje nefinansijske imovine.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Nefinansijska imovina u zalihama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4" w:name="clan_31"/>
      <w:bookmarkEnd w:id="44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Zalihe nefinansijske imovine u zalihama procenjuju se po nabavnoj vrednosti.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Nabavnu vrednost čine neto fakturna vrednost i zavisni troškovi nabavke.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Pod zavisnim troškovima nabavke podrazumevaju se svi direktni troškovi u postupku nabavke do uskladištenja.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Zalihe robnih rezervi i robe za dalju prodaju evidentiraju se po nabavnoj ceni,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obračun izlaza sa zaliha vrši se po metodi prosečne cene. Nabavke zaliha robnih rezervi i robe za dalju prodaju iskazuju se, u trenutku nabavke, kao izdaci za nefinansijsku imovinu, a u trenutku prodaje, kao primanja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prodaje nefinansijske imovine.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Zalihe sitnog inventara i potrošnog materijala se evidentiraju po nabavnoj ceni, a obračun izlaza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zaliha vrši se po metodi prosečne cene.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Sitan inventar i potrošni materijal se otpisuju u celosti prilikom stavljanja u upotrebu.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5" w:name="str_14"/>
      <w:bookmarkEnd w:id="4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Finansijska imovina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Dugoročna finansijska imovina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6" w:name="clan_32"/>
      <w:bookmarkEnd w:id="4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32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Dugoročna finansijska imovina sastoji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učešća kapitala u međunarodnim finansijskim institucijama, učešća kapitala u domaćim javnim nefinansijskim preduzećima i institucijama, učešća kapitala u ostalim domaćim finansijskim institucijama, učešća kapitala u domaćim nefinansijskim privatnim preduzećima i učešća kapitala u domaćim poslovnim bankama.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Učešće u kapitalu procenjuje se po nabavnoj vrednosti.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Učešće u kapitalu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osnovu uplate novih ulaganja evidentira se kao povećanje učešća u kapitalu i izdataka za finansijsku imovinu.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Novčana sredstva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7" w:name="clan_33"/>
      <w:bookmarkEnd w:id="4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33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Novčana sredstva obuhvataju: tekuće račune; izdvojena novčana sredstva i akreditive; blagajnu; devizni račun i ostala novčana sredstva.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Novčana sredstva se procenjuju po nominalnoj vrednosti.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Novčana sredstva budžeta Grada Niša obuhvataju sva stanja sredstava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podračunima koja su uključena i čine sastavni deo konsolidovanog računa trezora Grada Niša.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Stanje računa - konsolidovanog računa trezora 505 sastoji se od stanja računa 500 - Stanje svih podračuna korisnika budžetskih sredstava umanjenog za iznos plasiranih sredstava kod banaka na računima 210 - Depozit kod banaka i 213 - Oročena sredstva kod banaka.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Kratkoročna potraživanja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8" w:name="clan_34"/>
      <w:bookmarkEnd w:id="4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34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Kratkoročna potraživanja se procenjuju po nominalnoj vrednosti umanjenoj indirektno za iznos verovatne nenaplativosti potraživanja, a direktno ako je nemogućnost naplate izvesna i dokumentovana.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Kratkoročna potraživanja obuhvataju potraživanja budžetskih korisnika po osnovu prodaje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kupaca u zemlji i inostranstvu i druga potraživanja - potraživanja za kamate, potraživanja od zaposlenih, potraživanja od drugih organa i organizacija, po osnovu preplaćenih poreza i doprinosa i ostala potraživanja.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Kratkoročna potraživanja se u momentu nastanka promene evidentiraju zaduženjem,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odobrenjem obaveza iz grupe pasivnih vremenskih razgraničenja.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U momentu naplate se zatvara konto pasivnih vremenskih razgraničenja i odobrava se odgovarajućem kontu u klasi prihoda.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Kratkoročni plasmani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9" w:name="clan_35"/>
      <w:bookmarkEnd w:id="4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35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Kratkoročni plasmani se procenjuju po nominalnoj vrednosti umanjenoj indirektno za iznos verovatne nenaplativosti potraživanja, a direktno za nastalu i dokumentovanu nenaplativost.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Kratkoročni plasmani obuhvataju kratkoročne kredite, date avanse, depozite, kaucije i ostale kratkoročne plasmane.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Kratkoročni krediti obuhvataju kredite odobrene pravnim i fizičkim licima u zemlji.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Dati avansi obuhvataju avanse date za nabavku materijala, robe i za obavljanje usluga. Za iznos neiskorišćenih, odnosno nepokrivenih datih avansa,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dan sastavljanja završnog računa iskazuju se tekući rashodi i pasivna vremenska razgraničenja (razgraničeni plaćeni rashodi), u skladu sa gotovinskom osnovom za vođenje budžetskog računovodstva.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Aktivna vremenska razgraničenja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0" w:name="clan_36"/>
      <w:bookmarkEnd w:id="5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36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Ova kategorija obuhvata razgraničene rashode do jedne godine (premije osiguranja, zakupnine, pretplata za stručne časopise i literaturu, rashodi grejanja i drugi rashodi), obračunate neplaćene rashode i ostala aktivna vremenska razgraničenja.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Aktivna vremenska razgraničenja obuhvataju nastale obaveze budžetskih korisnika, koje terete rashode budućeg obračunskog perioda u kome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će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biti plaćene.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Obaveze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1" w:name="clan_37"/>
      <w:bookmarkEnd w:id="51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37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Obaveze se procenjuju u visini nominalnih iznosa koji proističu iz poslovnih i finansijskih transakcija.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Smanjenje obaveza po osnovu zakona, vanparničnog poravnanja i sl. vrši se direktnim otpisivanjem.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Obaveze obuhvataju domaće i strane dugoročne obaveze, domaće i strane kratkoročne obaveze, obaveze po osnovu rashoda za zaposlene, obaveze po osnovu subvencija, donacija i transfera, obaveze za socijalno osiguranje i obaveze iz poslovanja.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Pasivna vremenska razgraničenja obuhvataju: razgraničene prihode, razgraničene plaćene rashode, obračunate (fakturisane) nenaplaćene prihode i primanja i ostala pasivna vremenska razgraničenja.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Razgraničeni prihodi obuhvataju razgraničene prihode iz donacija i ostale razgraničene prihode.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Razgraničeni plaćeni rashodi obuhvataju iznose koji su u obračunskom periodu isplaćeni, a u momentu izvršene isplate nisu evidentirani kao tekući rashodi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izdaci za nabavku nefinansijske imovine (akontacija za službeno putovanje, avans za materijal, avans za nabavku nefinansijske imovine i dr.). Na dan bilansiranja za iznos izvršene isplate evidentiranje se vrši zaduženjem odgovarajućeg konta tekućeg rashoda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izdatka, a odobrenjem konta razgraničeni plaćeni rashodi.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Obračunati nenaplaćeni prihodi i primanja obuhvataju fakturisane nenaplaćene tekuće prihode i primanja po osnovu prodaje nefinansijske imovine.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Ostala pasivna vremenska razgraničenja obuhvataju obaveze fondova za refundiranje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ime naknade po osnovu bolovanja zaposlenih u trajanju preko 30 dana, naknada za porodiljsko odsustvo, naknada za invalide rada druge kategorije, kao i ostala pasivna vremenska razgraničenja.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Sredstva rezerve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2" w:name="clan_38"/>
      <w:bookmarkEnd w:id="5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38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Sredstva rezerve se ne raspoređuju unapred.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Sredstva stalne rezerve se koriste za finansiranje rashoda u otklanjanju posledica vanrednih događaja, kao što su poplave, suše, zemljotres, požar, ekološka katastrofa i druge elementarne nepogode, odnosno drugih vanrednih događaja, koji mogu da ugroze život i zdravlje ljudi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proizvedu štetu većih razmera.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Sredstva tekuće rezerve raspoređuju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direktne korisnike budžetskih sredstava i predstavljaju povećanje aproprijacije za određene namene za koje se u toku godine utvrdi da planirana sredstva nisu dovoljna ili za neplanirane svrhe za koje nisu izvršene aproprijacije.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9D3A4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Vanbilansna aktiva i pasiva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3" w:name="clan_39"/>
      <w:bookmarkEnd w:id="5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39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Vanbilansna aktiva obuhvata osnovna sredstva u zakupu, primljenu tuđu robu i materijal, hartije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vrednosti van prometa, avale i druge garancije i ostalu vanbilansnu aktivu. Vanbilansna pasiva obuhvata obaveze za osnovna sredstva u zakupu, primljenu tuđu robu i materijal, hartije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vrednosti van prometa, avale i ostale garancije i ostalu vanbilansnu pasivu.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54" w:name="str_15"/>
      <w:bookmarkEnd w:id="54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VI USKLAĐIVANJE POSLOVNIH KNJIGA, POPIS IMOVINE I OBAVEZA I USAGLAŠAVANJE POTRAŽIVANJA I OBAVEZA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5" w:name="str_16"/>
      <w:bookmarkEnd w:id="5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1. Usklađivanje poslovnih knjiga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6" w:name="clan_40"/>
      <w:bookmarkEnd w:id="5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40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Budžetsko računovodstvo vrši usklađivanje promena i stanja glavne knjige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dnevnikom, kao i pomoćnih knjiga sa glavnom knjigom, pre popisa imovine i obaveza i pre sastavljanja finansijskog izveštaja - završnog računa.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7" w:name="clan_41"/>
      <w:bookmarkEnd w:id="5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Usklađivanje stanja imovine i obaveza u knjigovodstvenoj evidenciji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stvarnim stanjem koje se utvrđuje popisom vrši se na kraju budžetske godine, sa stanjem na dan 31.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decembra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tekuće godine.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8" w:name="str_17"/>
      <w:bookmarkEnd w:id="5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2. Popis imovine i obaveza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9" w:name="clan_42"/>
      <w:bookmarkEnd w:id="5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42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Redovan popis imovine i obaveza vrši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kraju poslovne godine za koju se sastavlja godišnji finansijski izveštaj - završni račun.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U toku godine se, u izuzetnim situacijama, može vršiti i vanredan popis u slučajevima propisanim zakonom.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Popisom se utvrđuje stanje imovine, potraživanja, obaveza i izvora kapitala.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Tuđa imovina koja se nalazi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korišćenju kod budžetskog korisnika ili imovina budžetskog korisnika koja se nalazi na korišćenju kod drugog pravnog lica, popisuje se na posebnim popisnim listama. Jedan primerak overen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strane popisne komisije dostavlja se vlasniku imovine.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0" w:name="clan_43"/>
      <w:bookmarkEnd w:id="6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43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Redovan popis može da počne 30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dana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pre kraja budžetske godine, a po potrebi i ranije, s tim da popis obuhvata stanje imovine i obaveza na dan 31.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decembar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, godine za koju se vrši popis. Sve promene u stanju imovine i obaveza nastale u toku popisa unose se u popisne liste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osnovu verodostojnih isprava.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1" w:name="clan_44"/>
      <w:bookmarkEnd w:id="61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44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Popis imovine i obaveza vrše popisne komisije određene posebnim rešenjem koje donosi gradonačelnik.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Ovim rešenjem obrazuje se potreban broj komisija i imenuju članovi i zamenici komisija, utvrđuje rok u kome su komisije dužne da izvrše popis, kao i rok za dostavljanje izveštaja o izvršenom popisu.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2" w:name="clan_45"/>
      <w:bookmarkEnd w:id="6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45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Podaci iz računovodstva, odnosno odgovarajućih knjigovodstvenih evidencija o količinama ne mogu se davati komisiji za popis pre utvrđivanja stvarnog stanja u popisnim listama koje moraju biti potpisane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strane članova popisne komisije.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3" w:name="clan_46"/>
      <w:bookmarkEnd w:id="6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46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Članovi popisne komisije, odnosno njen predsednik, odgovorni su za tačnost utvrđenog stanja po popisu, za uredno sastavljanje popisnih lista, kao i za blagovremeno vršenje popisa.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4" w:name="clan_47"/>
      <w:bookmarkEnd w:id="64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47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 završenom popisu, Centralna komisija za popis dužna je da sastavi izveštaj o rezultatima izvršenog popisa kome se prilažu popisne liste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izvornim materijalom koji je služio za sastavljanje popisnih lista i da ga dostave gradonačelniku preko Gradske Uprave za finansije.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5" w:name="clan_48"/>
      <w:bookmarkEnd w:id="6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48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Gradonačelnik razmatra izveštaj o popisu i donosi odgovarajući akt o usvajanju ovog izveštaja.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6" w:name="str_18"/>
      <w:bookmarkEnd w:id="6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3. Usaglašavanje potraživanja i obaveza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7" w:name="clan_49"/>
      <w:bookmarkEnd w:id="6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49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Usaglašavanje stanja finansijskih plasmana, potraživanja i obaveza vrši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dan sastavljanja završnog računa (31. decembra tekuće godine).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8" w:name="clan_50"/>
      <w:bookmarkEnd w:id="6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50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Direktni i indirektni korisnici budžetskih sredstava kao poverioci, u obavezi su da svojim dužnicima dostave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usaglašenje popis nenaplaćenih potraživanja najmanje jednom godišnje do kraja tekuće budžetske godine na obrascu IOS - izvod otvorenih stavki, u dva primerka.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9" w:name="clan_51"/>
      <w:bookmarkEnd w:id="69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Direktni i indirektni korisnici budžetskih sredstava kao dužnici, primljene izvode otvorenih stavki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svojih poverilaca u obavezi su da te izvode potvrde ili ospore u roku od najviše osam dana po prijemu, i o tome obaveste poverioca.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70" w:name="str_19"/>
      <w:bookmarkEnd w:id="70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VII ZAKLJUČIVANJE I ČUVANJE POSLOVNIH KNJIGA I RAČUNOVODSTVENIH ISPRAVA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1" w:name="clan_52"/>
      <w:bookmarkEnd w:id="71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52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 kraju budžetske godine, posle sprovedenih evidencija svih ekonomskih transakcija, po izradi finansijskog izveštaja - završnog računa za prethodnu godinu, zaključuju se poslovne knjige.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2" w:name="clan_53"/>
      <w:bookmarkEnd w:id="7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53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Poslovne knjige, računovodstvene isprave i finansijski izveštaji se čuvaju: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1. 50 godina - finansijski izveštaji;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2. 10 godina - dnevnik, glavne knjige, pomoćne knjige i evidencije;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3. 5 godina - izvorna i prateća dokumentacija i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4.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trajno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- evidencija o zaradama, a vreme čuvanja počinje poslednjeg dana budžetske godine na koju se dokumentacija odnosi.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Poslovne knjige, računovodstvene isprave i finansijski izveštaji se čuvaju u originalu i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računaru ili drugom obliku arhiviranja.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Poslovne knjige, računovodstvene isprave i finansijski izveštaji se čuvaju u prostorijama korisnika budžetskih sredstava i arhivi Sekretarijata za finansije.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3" w:name="clan_54"/>
      <w:bookmarkEnd w:id="7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54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Uništavanje poslovnih knjiga, računovodstvenih isprava i finansijskih izveštaja, kojima je prošao rok čuvanja vrši komisija koju je formirao načelnik Gradske uprave za finansije uz prisustvo predstavnika Arhiva i uz pomoć lica koje je zaduženo za čuvanje navedene dokumentacije.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Komisija sastavlja zapisnik o uništenju poslovnih knjiga, računovodstvenih isprava i finansijskih izveštaja.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74" w:name="str_20"/>
      <w:bookmarkEnd w:id="74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VIII BUDŽETSKO IZVEŠTAVANJE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5" w:name="clan_55"/>
      <w:bookmarkEnd w:id="75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55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Finansijsko izveštavanje vrši se periodično i godišnje.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Periodični i godišnji finansijski izveštaji sastavljaju se i podnose u skladu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pravilnikom kojim se uređuje priprema, sastavljanje i podnošenje finansijskih izveštaja korisnika budžetskih sredstava, organizacija za obavezno socijalno osiguranje, korisnika sredstava Republičkog fonda za zdravstveno osiguranje i budžetskih fondova.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6" w:name="clan_56"/>
      <w:bookmarkEnd w:id="76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56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Periodični izveštaji o izvršenju finansijskih planova, odnosno izveštaj o izvršenju budžeta za određeni period se vrši primenom gotovinske osnove.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7" w:name="clan_57"/>
      <w:bookmarkEnd w:id="77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57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Periodični finansijski izveštaji i godišnji finansijski izveštaj - završni račun sastavljaju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osnovu evidencija o primljenim sredstvima i izvršenim plaćanjima koja su usaglašena sa glavnom knjigom trezora, kao i na osnovu drugih analitičkih evidencija koje se vode.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8" w:name="clan_58"/>
      <w:bookmarkEnd w:id="78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58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lastRenderedPageBreak/>
        <w:t xml:space="preserve">Periodični finansijski izveštaji i godišnji finansijski izveštaj - završni račun sastavljaju se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osnovu uputstva i instrukcija na obrascima koje propisuje ministar finansija u skladu sa ovlašćenjem iz zakona.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79" w:name="str_21"/>
      <w:bookmarkEnd w:id="79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IX UTVRĐIVANJE ODGOVORNOSTI ZAPOSLENIH U BUDŽETSKOM RAČUNOVODSTVU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0" w:name="clan_59"/>
      <w:bookmarkEnd w:id="80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59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Načelnik Gradske uprave za finansije odgovoran je za organizovanje vođenja poslovnih knjiga (glavne knjige trezora, pomoćnih knjiga i evidencija) i pripremanje, sastavljanje i podnošenje finansijskih izveštaja.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Lica koja su zadužena da rade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poslovima budžetskog računovodstva odgovorna su za uredno, tačno i ažurno izvršavanje poverenih poslova. </w:t>
      </w:r>
    </w:p>
    <w:p w:rsidR="009D3A48" w:rsidRPr="009D3A48" w:rsidRDefault="009D3A48" w:rsidP="009D3A48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81" w:name="str_22"/>
      <w:bookmarkEnd w:id="81"/>
      <w:r w:rsidRPr="009D3A48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X ZAVRŠNE ODREDBE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2" w:name="clan_60"/>
      <w:bookmarkEnd w:id="82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60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Danom stupanja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snagu ovog Pravilnika prestaje da važi Pravilnik o budžetskom računovodstvu i računovodstvenim politikama donet pod brojem 347/2017-20 dana 06.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aprila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2017.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godine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9D3A48" w:rsidRPr="009D3A48" w:rsidRDefault="009D3A48" w:rsidP="009D3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3" w:name="clan_61"/>
      <w:bookmarkEnd w:id="83"/>
      <w:r w:rsidRPr="009D3A4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61 </w:t>
      </w:r>
    </w:p>
    <w:p w:rsidR="009D3A48" w:rsidRPr="009D3A48" w:rsidRDefault="009D3A48" w:rsidP="009D3A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D3A48">
        <w:rPr>
          <w:rFonts w:ascii="Arial" w:eastAsia="Times New Roman" w:hAnsi="Arial" w:cs="Arial"/>
          <w:kern w:val="0"/>
          <w14:ligatures w14:val="none"/>
        </w:rPr>
        <w:t xml:space="preserve">Ovaj Pravilnik stupa </w:t>
      </w:r>
      <w:proofErr w:type="gramStart"/>
      <w:r w:rsidRPr="009D3A48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9D3A48">
        <w:rPr>
          <w:rFonts w:ascii="Arial" w:eastAsia="Times New Roman" w:hAnsi="Arial" w:cs="Arial"/>
          <w:kern w:val="0"/>
          <w14:ligatures w14:val="none"/>
        </w:rPr>
        <w:t xml:space="preserve"> snagu osmog dana od dana objavljivanja u "Službenom listu Grada Niša".</w:t>
      </w:r>
    </w:p>
    <w:p w:rsidR="00D8173C" w:rsidRDefault="00D8173C"/>
    <w:sectPr w:rsidR="00D8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48"/>
    <w:rsid w:val="005F3B39"/>
    <w:rsid w:val="009D3A48"/>
    <w:rsid w:val="00D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1</cp:revision>
  <dcterms:created xsi:type="dcterms:W3CDTF">2023-11-27T08:58:00Z</dcterms:created>
  <dcterms:modified xsi:type="dcterms:W3CDTF">2023-11-27T08:59:00Z</dcterms:modified>
</cp:coreProperties>
</file>