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47" w:rsidRPr="00682F47" w:rsidRDefault="00682F47" w:rsidP="00682F47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bookmarkStart w:id="0" w:name="str_1"/>
      <w:bookmarkEnd w:id="0"/>
      <w:r w:rsidRPr="00682F47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UREDBA</w:t>
      </w:r>
    </w:p>
    <w:p w:rsidR="00682F47" w:rsidRPr="00682F47" w:rsidRDefault="00682F47" w:rsidP="00682F47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</w:pPr>
      <w:r w:rsidRPr="00682F47"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  <w:t>O KANCELARIJSKOM POSLOVANJU ORGANA DRŽAVNE UPRAVE</w:t>
      </w:r>
      <w:bookmarkStart w:id="1" w:name="_GoBack"/>
      <w:bookmarkEnd w:id="1"/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82F47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("Sl. glasnik RS", br. 21/2020, 32/2021 i 14/2023)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Uvodne odredbe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" w:name="clan_1"/>
      <w:bookmarkEnd w:id="2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Ovom uredbom uređuje se kancelarijsko poslovanje organa državne uprave.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Ova uredba primenjuje se i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službu Narodne skupštine, predsednika Republike i Vlade.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Ova uredba primenjuje se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sve imaoce javnih ovlašćenja kad vrše poverene poslove državne uprave, kao i na organe autonomnih pokrajina, opština, gradova i grada Beograda u poverenom delokrugu.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Organi državne uprave, službe iz stava 2.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i imaoci javnih ovlašćenja i organi iz stava 3.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člana, u daljem tekstu označeni su kao: organ.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Ova uredba shodno se primenjuje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organe autonomnih pokrajina, opština, gradova i grada Beograda u izvornom delokrugu, u skladu sa propisima.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" w:name="clan_2"/>
      <w:bookmarkEnd w:id="3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Kancelarijsko poslovanje obuhvata evidentiranje, čuvanje, razvrstavanje i arhiviranje dokumentarnog materijala koji je primljen u radu organa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koji nastane u radu organa.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Kancelarijsko poslovanje naročito obuhvata prijem, digitalizaciju, klasifikaciju, evidentiranje, dostavljanje u rad organu, praćenje toka predmeta, potpisivanje i pečatiranje, obaveštavanje, čuvanje, izdvajanje radi uništavanja i arhiviranje dokumentarnog materijala, kao i pregled efikasnosti i ažurnosti rada organa kada vode upravni postupak rešavajući o pravima, obavezama i pravnim interesima stranaka.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" w:name="clan_3"/>
      <w:bookmarkEnd w:id="4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Izrazi upotrebljeni u ovoj uredbi imaju sledeće značenje: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dokumentarni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materijal čine, podnesci, akti, prilozi, fotografski i fonografski snimci, mikrofilmovani i na drugi način sačinjeni zapisi i dokumenti, kao i elektronska pošta upućena organu elektronskim putem na nalog elektronske pošte pisara i obrađivača predmeta;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2)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podnesak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 vrsta dokumentarnog materijala, odnosno svaki zahtev, odnosno obrazac, predlog, prijava, molba, žalba, prigovor i drugo saopštenje kojim se fizička i pravna lica, organi, kao i drugi zainteresovani učesnici obraćaju organima;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 xml:space="preserve">3)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akt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 vrsta dokumentarnog materijala, kojim organ pokreće, dopunjuje, menja, prekida ili završava službenu radnju;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4)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prilog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 vrsta dokumentarnog materijala, ili fizički predmet koji se prilaže uz podnesak ili akt radi dopunjavanja, objašnjenja ili dokazivanja sadržine akta odnosno podneska;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5)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predmet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 skup svih vrsta dokumentarnog materijala, odnosno skup svih podnesaka, akata i priloga koji se odnose na isto pitanje ili zadatak i kao takav čine jedinstvenu celinu;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6)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katalog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postupaka je evidencija o svim upravnim i vanupravnim postupcima koji sadrži i šifarnik vrstu dokumentarnog materijala sa rokovima čuvanja;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7)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pisarnica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 organizaciona jedinica gde se obavljaju poslovi kancelarijskog poslovanja, korišćenjem jedinstvenog softverskog rešenja u kojem se vodi centralizovana evidencija o dokumentarnom materijalu - Pisarnica;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8)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administrator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organa je ovlašćeno službeno lice organa koje obavlja poslove u skladu sa zakonom kojim se uređuje elektronska uprava;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9)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pisar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 ovlašćeno službeno lice koje obavlja poslove kancelarijskog poslovanja u organu;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10)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obrađivač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predmeta je ovlašćeno službeno lice koje vodi postupak i postupa u vanupravnim stvarima;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11) Sistem za upravljanje dokumentima je posebno softversko rešenje kojim se omogućava kancelarijsko poslovanje, odnosno upravljanje dokumentarnim materijalom evidentiranim u Pisarnici;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12)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učesnik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 kancelarijskom poslovanju je organ, odnosno fizičko ili pravno lice, koje komunicira sa organom (u daljem tekstu: učesnik);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13)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arhiva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 deo Pisarnice u kojem se čuvaju arhivirani predmeti organa i ostali dokumentarni materijal do predaje nadležnom arhivu ili do njegovog uništenja.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" w:name="str_2"/>
      <w:bookmarkEnd w:id="5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Pisarnica i Sistem za upravljanje dokumentima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" w:name="clan_4"/>
      <w:bookmarkEnd w:id="6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Organ preko jedinstvenog softverskog rešenja - Pisarnice obavlja poslove kancelarijskog poslovanja.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Pisarnicu iz stava 1.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člana, kao i Sistem za upravljanje dokumentima uspostavlja i tehnički održava posebna organizacija nadležna za projektovanje, usklađivanje, razvoj i funkcionisanje sistema elektronske uprave (u daljem tekstu: nadležni organ).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Pisarnica i Sistem za upravljanje dokumentima omogućava učesnicima praćenje toka predmeta dodeljujući predmetu odgovarajuće statuse kojima se pridružuje kvalifikovani vremenski žig.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 xml:space="preserve">Rukovodilac organa imenuje administratora organa za Pisarnicu i Sistem za upravljanje dokumentima (u daljem tekstu: administrator) i o tome, bez odlaganja, obaveštava nadležni organ elektronskim putem.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Rukovodilac Uprave za zajedničke poslove republičkih organa imenuje administratora iz stava 4.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za organe za koje obavlja poslove kancelarijskog poslovanja.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Organi mogu zajednički obavljati poslove kancelarijskog poslovanja i u tom slučaju određuju zajedničkog administratora.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Nadležni organ omogućava administratoru organa pristup Pisarnici i Sistemu za upravljanje dokumentima u roku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osam dana od prijema obaveštenja iz stava 4.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člana.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" w:name="str_3"/>
      <w:bookmarkEnd w:id="7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Poslovi administratora organa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" w:name="clan_5"/>
      <w:bookmarkEnd w:id="8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Administrator organa obavlja sledeće poslove: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upravlja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nalozima ovlašćenih lica koje je odredio organ;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2)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vodi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šifarnik kategorija dokumentarnog materijala sa rokovima čuvanja;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3)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prijavljuje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tehničke probleme nadležnom organu.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" w:name="str_4"/>
      <w:bookmarkEnd w:id="9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Podnošenje, predaja i prijem podneska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" w:name="clan_6"/>
      <w:bookmarkEnd w:id="10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6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Učesnik podnosi podnesak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Portalu eUprava, u skladu sa propisima kojima se uređuje elektronska uprava, odnosno na drugi način elektronskim putem u skladu sa zakonom.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Učesnik može da preda podnesak u papirnom obliku, odnosno usmeno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zapisnik, osim ako je propisano isključivo elektronsko komuniciranje učesnika sa organom.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je podnesak upućen preko pošte, lice ovlašćeno za preuzimanje pošte vrši preuzimanje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propisima poštanske službe.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Oštećena preporučena pošiljka preuzima se uz zapisnik poštanskog operatora koji je sačinjen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osnovu reklamacije ovlašćenog lica iz stava 3.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Podnesak koji je novčano pismo i druga vrednosna pošiljka, kao i podneske u vezi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licitacijom, konkursom, javnim nabavkama, odnosno druge podneske koje otvara komisija, učesnik predaje u skladu sa propisima.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Podnesak koji nosi oznaku "novčana pisma i druge vrednosne pošiljke" bez otvaranja se prosleđuje ovlašćenom službenom licu organa, kao i podnesak koji nosi oznaku "licitacija", "konkurs", "javna nabavka", "komisijski", koji otvara određena komisija, ako nije drukčije propisano.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>Podnesak namenjen određenom licu zaposlenom u organu, koji nosi oznaku "lično" prosleđuje se označenom licu bez otvaranja.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Ako podnesak ove vrste predstavlja podnesak upućen organu, evidentira se preko Pisarnice bez odlaganja, a najkasnije u roku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24 časa po prijemu.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Pisar prijem podneska iz st. 5-7.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evidentira u Pisarnici i bez otvaranja dostavlja naznačenom primaocu.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je podnesak označen određenim stepenom tajnosti organ postupa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propisima koji uređuju tajnost podataka.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organ kojem je predat podnesak u papirnom obliku nije nadležan za prijem podneska, nakon evidentiranja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članom 9.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uredbe ga prosleđuje nadležnom organu, odnosno vraća stranci.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" w:name="str_5"/>
      <w:bookmarkEnd w:id="11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Potvrda prijema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" w:name="clan_7"/>
      <w:bookmarkEnd w:id="12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7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Nakon podnošenja, odnosno predaje, podnesku se putem Pisarnice dodeljuje jedinstvena identifikaciona oznaka i učesniku izdaje potvrda o prijemu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način na koji je podnesak predat.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Potvrda o prijemu podneska obavezno sadrži: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jedinstvenu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identifikacionu oznaku podneska;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2)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naziv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 sedište organa koji je primio podnesak;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3)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datum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 vreme prijema podneska;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4)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naziv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 broj priloga podnetih uz podnesak;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5)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naziv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priloga, ako se podnosi elektronskim putem;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6)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obaveštenje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o načinu uvida u tok postupanja po podnesku.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Nakon podnošenja elektronskim putem, potvrdi iz stava 1.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pridružuje se kvalifikovani vremenski žig kojim se upisuje datum i vreme prijema iz stava 2.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tačka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3) ovog člana.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Ako je podnesak podnet preko pošte datum i vreme prijema podneska smatra se trenutkom predaje u pošti, osim ako je drugačije propisano.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" w:name="str_6"/>
      <w:bookmarkEnd w:id="13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Digitalizacija podneska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" w:name="clan_8"/>
      <w:bookmarkEnd w:id="14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8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Podnesak predat u papirnom obliku digitalizuje se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propisima kojima se uređuje elektronski dokument i arhivska građa.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>U pisarnici se dodeljuje jedinstvena identifikaciona oznaku iz člana 7.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uredbe koja se upisuje na dokument i na papirni omot predmeta, kao i vreme prijema.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Podnesak u papirnom obliku, kao i digitalizovani podnesak, čuva se u zakonom predviđenom roku, odnosno uništava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zakonom.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 može odrediti da se podnesak predat u papirnom obliku nakon digitalizacije vraća učesniku, odnosno čuva,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zakonom.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" w:name="str_7"/>
      <w:bookmarkEnd w:id="15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Vođenje evidencije predmeta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" w:name="clan_9"/>
      <w:bookmarkEnd w:id="16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9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Pisarnica omogućava vođenje centralizovane evidencije o predmetima.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Pri elektronskom podnošenju podneska, odnosno akta preko Portala eUprava i drugih portala Pisarnica vrši automatsko evidentiranje predmeta.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je podnesak predat u papirnom obliku, pisar se upoznaje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sadržinom podneska i u Pisarnici formira predmet upisujući ga u jedinstvenu evidenciju predmeta.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Nakon formiranja, Pisarnica dodeljuje predmetu status "formiran predmet", odnosno "u obradi" ako sistem za upravljanje dokumentima omogućava automatizovano dodeljivanje predmeta u rad obrađivaču predmeta.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Dokumentarni materijal se evidentira i svrstava u predmete, osim ako ne zahteva postupanje organa.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Evidencija iz stava 1.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sadrži: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jedinstvenu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identifikacionu oznaku predmeta koja sadrži: jedinstvenu identifikacionu oznaku podneska iz člana 7.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stav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1.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jedinstvenu klasifikacionu oznaku, identifikacionu oznaku organa, odnosno organizacione jedinice;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2)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jedinstvenu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identifikacionu oznaku podneska i drugog dokumentarnog materijala koji pripada predmetu i podatke o dokumentarnom materijalu u okviru predmeta i to: naziv kategorije dokumentarnog materijala i rok čuvanja, izvorni oblik (papirni, elektronski), način komuniciranja (preko portala, adrese elektronske pošte, neposredno i dr.), datum i vreme podnošenja i evidentiranja, da li je i kada izrađen prepis dokumenta;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3) podatke o predmetu i to: način pokretanja postupka (zahtevom ili po službenoj dužnosti), vrsta postupka (postupanje u vezi sa rešavanjem u upravnim stvarima, vršenje upravnih radnji, upravni ugovori, garantni akti, pružanje javnih usluga), naziv postupka, datum i vreme evidentiranja i promene statusa predmeta, rok za rešavanje, oznaka veze sa predmetom, status (formiran, u obradi, prekinut, obustavljen, odbačen, rešen, arhiviran) i ishod rešavanja predmeta (po službenoj dužnosti: obustavljen, rešen, nije rešen, po zahtevu stranke: odbačen, odbijen, rešen, nije rešen, obustavljen) i vreme arhiviranja predmeta;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 xml:space="preserve">4)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podatke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o učesniku, i to: jedinstveni matični broj građana, lično ime, adresu prebivališta fizičkog lica, odnosno poreski identifikacioni broj (PIB) i matični broj, naziv i sedište pravnog lica, odnosno naziv i sedište organa; kontakt podatke, odnosno broj mobilnog telefona i adresu elektronske pošte, u skladu sa zakonom;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5)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podatke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o organu i obrađivaču koje obrađuje predmet u tom momentu, i to: naziv organa, sedište, lično ime, funkciju i adresu elektronske pošte ovlašćenog službenog lica;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6)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uložena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pravna sredstva i odluku povodom uloženih pravnih sredstava (odbačena ili odbijena žalba ili prigovor, poništeno ili ukinuto rešenje) i status akta (izvršno, konačno, pravosnažno rešenje).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Ako je učesnik strano fizičko lice, umesto jedinstvenog matičnog broja upisuje se evidencioni broj za strance, odnosno jedinstvena identifikaciona oznaka stranog državljanina ako ne boravi u Republici Srbiji.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Ako je učesnik strano pravno lice, umesto PIB i matičnog broja unosi se identifikacioni broj tog pravnog lica iz registra u kome je registrovan i naziv tog registra.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Podatke iz stava 6.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tač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. 1)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2) i tačka 4) ovog člana automatski preuzima Pisarnica, odnosno unosi ih pisar ili obrađivač, u skladu sa propisima.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Statistički podaci iz stava 6.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koriste se i za praćenje rada organa u skladu sa utvrđenom metodologijom i upravnu statistiku.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Organ, radi čuvanja, može periodično odštampati evidenciju svojih predmeta.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" w:name="str_8"/>
      <w:bookmarkEnd w:id="17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Klasifikacija predmeta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" w:name="clan_10"/>
      <w:bookmarkEnd w:id="18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10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Organ nadležan za uređivanje postupka u katalogu postupaka, određuje kojoj klasifikaciji po materiji pripada postupak i vrste dokumentarnog materijala koje nastaju u okviru postupka.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 preko Pisarnice obezbeđuje da se dokumentarni materijal klasifikuje po materiji koja je svrstana u glavne grupe, grupe i podgrupe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poslovima iz delokruga rada organa utvrđenim zakonom.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>Predmeti i akti klasifikuju se po materiji u deset glavnih grupa (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0 do 9), i to: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0 - državno uređenje, organizacija i rad organa;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rad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 radni odnosi i socijalno osiguranje;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2 -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lična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stanja građana, državna i javna bezbednost;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3 -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privreda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4 -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finansije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 xml:space="preserve">5 -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zdravlje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i socijalna zaštita;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6 -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prosveta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, nauka, kultura, sport, intelektualna svojina, javno informisanje i mediji;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7 -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sudstvo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, tužilaštvo i pravobranilaštvo;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8 -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odbrana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9 -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međunarodna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saradnja i evropske integracije.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U okviru glavnih grupa vrši se, po decimalnom sistemu, dalje raščlanjavanje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grupe (dvocifreni broj) i na podgrupe (trocifreni broj), s obzirom na srodnost i obim pojedinih delatnosti, odnosno zadataka i poslova obuhvaćenih glavnim grupama.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U okviru podgrupe, bliže se uređuju zadaci i poslovi, odnosno postupci organa, koji se vode u katalogu postupaka.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U katalogu postupaka vodi se i šifarnik kategorija dokumentarnog materijala koji, između ostalog, sadrži: oznaku i naziv klasifikacije po materiji, oznaku, odnosno šifru postupka, oznaku i naziv vrste dokumentarnog materijala, kao i rok čuvanja svake vrste dokumentarnog materijala.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 nadležan za uređivanje postupka predlaže rok čuvanja svake vrste dokumentarnog materijala, koje u roku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15 dana od dana prijema, odobrava nadležni javni arhiv, nakon čega postupak, kroz dopunjeni katalog postupaka, postaje dostupan u pisarnici organa nadležnog za vođenje postupka.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 nadležan za uređivanje postupka u katalogu postupaka, svaku promenu u postupanju u skladu sa propisima unosi na odgovarajuće mesto, kada je u pitanju promena koja se odnosi na rok čuvanja, novi rok odobrava nadležni javni arhiv, svaka odobrena promena u katalogu postupaka automatski se upisuje u Pisarnicu.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se prilikom formiranja predmeta utvrdi da postupak nije upisan u katalog postupaka, u Pisarnici se evidentira predmet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šifrom 000 001 - opšte - postupak koji nije upisan u katalog postupaka, a administrator organa bez odlaganja obaveštava nadležni organ da je potrebno izvršiti dopunu kataloga postupaka.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Nakon usvajanja dopune kataloga postupaka, pisar formiranom predmetu dodeljuje odgovarajuću klasifikaciju po materiji i postupak.</w:t>
      </w:r>
      <w:proofErr w:type="gramEnd"/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" w:name="str_9"/>
      <w:bookmarkEnd w:id="19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Razmena dokumentarnog materijala između organa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" w:name="clan_11"/>
      <w:bookmarkEnd w:id="20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11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Organi dokumentarni materijal među sobom razmenjuju elektronskim putem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zakonom.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Kada organi razmenjuju dokumentarni materijal overen kvalifikovanim elektronskim pečatom, odnosno kvalifikovanim elektronskim potpisom, preko Servisne magistrale organa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naloga elektronske pošte, takvom dokumentarnom materijalu ne može se osporiti punovažnost, dokazna snaga, kao ni pisana forma samo zato što je u elektronskom obliku.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1" w:name="str_10"/>
      <w:bookmarkEnd w:id="21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Dopuna predmeta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2" w:name="clan_12"/>
      <w:bookmarkEnd w:id="22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12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Pre dostavljanja u rad odgovarajućoj organizacionoj jedinici pisar je dužan da proveri da li primljeni podnesak pripada predmetu koji je već zaveden u Pisarnici.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Pisar putem Pisarnice pridružuje podnesak predmetu u vezi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kojim je podnesak primljen.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3" w:name="str_11"/>
      <w:bookmarkEnd w:id="23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Dostavljanje predmeta u rad organu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4" w:name="clan_13"/>
      <w:bookmarkEnd w:id="24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13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Administrator omogućava pristup predmetu preko Pisarnice rukovodiocu organizacione jedinice, odnosno obrađivaču predmeta, koji putem Sistema za upravljanje dokumentima dodeljuje predmet u rad i pridružuje status "u obradi".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Administrator omogućava neposredan pristup obrađivaču predmeta ako je organ preko posebnog sistema za upravljanje dokumentima to omogućio.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Organ je dužan da preko Pisarnice omogući učesniku uvid u status predmeta.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Sistem za upravljanje dokumentima iz stava 2.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omogućava praćenje statusa premeta u Pisarnici.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5" w:name="str_12"/>
      <w:bookmarkEnd w:id="25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Rad </w:t>
      </w:r>
      <w:proofErr w:type="gramStart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predmetu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6" w:name="clan_14"/>
      <w:bookmarkEnd w:id="26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14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Obrađivač predmeta upoznaje se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sadržinom podneska i priloga i upravlja dokumentarnim materijalom preko Sistema za upravljanje dokumentima ili drugog odgovarajućeg softverskog rešenja.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Softversko rešenje iz stava 1.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omogućava dodeljivanje odgovarajućih statusa pojedinačnim procesnim radnjama u skladu sa propisima.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U toku rada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predmetu obrađivač elektronskim putem pribavlja podatke o činjenicama koje su neophodne za odlučivanje iz službenih evidencija preko Sistema za razmenu podataka ili na drugi propisan način.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Izuzetno, ako podatke iz stava 3.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nije moguće pribaviti na način iz stava 3.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člana, obrađivač predmeta ih pribavlja na drugi pogodan način.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Nakon obrade predmeta obrađivač predmeta potpisuje akt kvalifikovanim elektronskim pečatom organa, ako je za to ovlašćen, odnosno kvalifikovanim elektronskim potpisom.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ga upućuje drugom službenom licu koje je ovlašćeno da odluči o predmetu i da ga potpiše.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Akt organa obavezno sadrži: zaglavlje koje se sastoji iz naziva i sedišta organa, jedinstvene identifikacione oznake predmeta i akta iz člana 9.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uredbe, datuma izdavanja akta, imena, </w:t>
      </w:r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 xml:space="preserve">odnosno naziva i prebivališta, odnosno sedišta, odnosno druge identifikacione oznake učesnika; tekst akta; spisak priloga koji se prilažu uz akt.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Izuzetno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stava 6.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člana, ukoliko je reč o prepisu akta u papiru, umesto kvalifikovanog vremenskog žiga i kvalifikovanog elektronskog pečata organa, akt sadrži pečat organa i svojeručni potpis ovlašćenog lica, u skladu sa zakonom kojim se uređuje elektronski dokument.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Akt iz stava 6.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overava se kvalifikovanim elektronskim pečatom organa nakon čega se u Pisarnici automatski menja status predmeta u "završen", odnosno u drugi odgovarajući status.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Pisarnica automatizovano ne upiše podatke, obrađivač ih upisuje ručno, i to sledeće podatke: ishod postupanja (po službenoj dužnosti: obustavljen, rešen, nije rešen, po zahtevu stranke: odbačen, odbijen, rešen, nije rešen, obustavljen), uložena pravna sredstva i odluku povodom uloženih pravnih sredstava (odbačena ili odbijena žalba odnosno prigovor; poništeno, izmenjeno ili ukinuto rešenje), da li je rešenje izvršno, konačno, pravosnažno ili izvršeno, kao i način na koji će biti izvršeno otpremanje određenog dokumentarnog materijala.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Pisarnica dodeljuje status predmetu u odnosu da ishod rešavanja i oznaku načina otpremanja dokumentarnog materijala.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7" w:name="str_13"/>
      <w:bookmarkEnd w:id="27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Način dostavljanja dokumentarnog materijala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8" w:name="clan_15"/>
      <w:bookmarkEnd w:id="28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15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Pisarnica dostavlja dokumentarni materijal u Jedinstven elektronski sandučić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drugim elektronskim putem u skladu sa propisima i menja status predmeta u "poslato", "objavljeno" ili neki drugi status.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 preko Pisarnice ličnu elektronsku dostavu akta vrši isključivo u Jedinstven elektronski sandučić i nakon dobijene potvrde o prijemu menja status predmeta u "dostavljen",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propisima kojima se uređuje elektronska uprava.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Pisarnica ne primi potvrdu o prijemu upisuje se status dokumentarnom materijalu "pokušana dostava" i nakon 24 sata se dostavljanje ponavlja, kada se status menja u "ponovljena dostava", osim ako drugim propisom nije drugačije uređeno.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u propisanom roku Pisarnica ne primi potvrdu o prijemu, upisuje se status "dostavljeno bez potvrde" ili "dostavljanje nije moguće" u propisanim slučajevima.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Ako se dostavljanje dokumentarnog materijala vrši u papirnom obliku, obavlja se preko poštanskog operatora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ili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preko dostavljača (kurira) nakon evidentiranja, odnosno razvrstavanja kategorija u Pisarnici.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Ako učesnik zahteva dostavu u papirnom obliku, Pisarnica dodeljuje dokumentarnom materijalu oznaku "Papirno".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Dokumentarni materijal u papirnom obliku preuzet u toku radnog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dana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do 12 časova otprema se istog dana.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 xml:space="preserve">Dokumentarni materijal u papirnom obliku koji se istog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dana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upućuje na istu adresu stavlja se obavezno u isti koverat ili paket u skladu sa poštanskim propisima. Ako se jedan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tih predmeta šalje preporučeno, u zajednički koverat treba staviti i ostali dokumentarni materijal, koji bi inače bio otpremljen kao obična pošiljka.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Koverat u kom se otpremaju akti treba da sadrži u gornjem levom uglu prve strane: tačan naziv i adresu pošiljaoca i oznaku svih akata koji se nalaze u kovertu.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Dokumentani materijal koji se otprema preko poštanske službe Pisarnica razvrstava u dve grupe: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1)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obične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pošiljke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2)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preporučene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pošiljke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i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tim redom upisuju se u evidenciju poslatog dokumentarnog materijala u Pisarnici.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Dokaz o izvršenoj dostavi akta u papirnom obliku digitalizuje se i pridružuje se predmetu u Pisarnici.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U slučaju da se dokaz iz stava 11.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dostavi Pisarnica dodeljuje status "dostavljeno bez potvrde".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9" w:name="str_14"/>
      <w:bookmarkEnd w:id="29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Čuvanje dokumentarnog materijala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0" w:name="clan_16"/>
      <w:bookmarkEnd w:id="30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16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Dokumentarni materijal organa evidentira se u Pisarnici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zakonom, u elektronskom obliku, po vremenu prijema, odnosno nastanka, rokovima čuvanja, klasifikacionim oznakama i drugim podacima iz člana 8.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uredbe koji su od značaja za njegovo čuvanje.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Dokumentarni materijal organa za koji je predviđeno trajno čuvanje evidentira se i čuva u arhivi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zakonom.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Nadležni organ uspostavlja i tehnički održava softversko rešenje eArhiv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propisima.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Softversko rešenje eArhiv vodi se u Državnom centru za upravljanje i čuvanje podataka.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Nadležni organ obezbeđuje integritet dokumentarnog materijala u elektronskom arhivu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svakih pet godina naprednim pečatom kojem pridružuje kvalifikovani vremenski žig.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Dokumentarni materijal u papirnom obliku za koje je predviđeno trajno čuvanje do predaje nadležnom arhivu, organ čuva u arhivi, obezbeđujući uslove koji sprečavaju nestanak, neovlašćen uvid i materijalno oštećenje dokumentarnog materijala u papirnom obliku.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Dokumentarni materijal organa koji se trajno čuva i predstavlja arhivsku građu dobija oznaku "arhivska građa" u Pisarnici, odnosno u arhivi.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1" w:name="str_15"/>
      <w:bookmarkEnd w:id="31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Izdvajanje bezvrednog dokumentarnog materijala radi uništavanja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2" w:name="clan_17"/>
      <w:bookmarkEnd w:id="32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Član 17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U softverskom rešenju eArhiv se kreira popis dokumentarnog materijala kojem je istekao rok čuvanja.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Po isteku rokova čuvanja organ po dobijanju odobrenja nadležnog arhiva briše, odnosno uništava bezvredni dokumentarni materijal kojem je istekao rok čuvanja i menja se status u "dozvoljeno brisanje", odnosno "dozvoljeno uništavanje" za dokumentarni materijal u papirnom obliku.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Za dokumentarni materijal koji se izdvaja radi uništavanja upisuju se sledeći podaci: naziv organa u čijem je radu nastao dokumentarni materijal; godina nastanka materijala i klasifikaciona oznaka i jedinstvena identifikaciona oznaka, rok čuvanja predmeta, kao i odobrenje nadležnog arhiva.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>Ne može se uništiti dokumentarni materijal koji nije u statusu: "arhiviran".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3" w:name="str_16"/>
      <w:bookmarkEnd w:id="33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Arhiviranje dokumentarnog materijala u papirnom obliku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4" w:name="clan_18"/>
      <w:bookmarkEnd w:id="34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18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Završeni (arhivirani) predmeti i drugi dokumentarni materijali u papirnom obliku čuvaju se u arhivi organa u odgovarajućim arhivskim jedinicama, u uslovima koji osiguravaju njihovo očuvanje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nestajanja, oštećenja i neovlašćenog uvida, i vode se u arhivskoj knjizi.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>Uprava za zajedničke poslove republičkih organa za organe za koje obavlja poslove kancelarijskog poslovanja, imalac je arhivske građe i dokumentarnog materijala tih organa u papirnom obliku.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5" w:name="clan_19"/>
      <w:bookmarkEnd w:id="35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19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Dokumentarni materijal upisuje se u arhivsku knjigu u elektronskom obliku po godinama i klasifikacionim oznakama.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Arhivska knjiga vodi se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zakonom kojim se uređuje arhivska građa i arhivska delatnost.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6" w:name="clan_20"/>
      <w:bookmarkEnd w:id="36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20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Završeni predmeti i drugi dokumentarni materijali čuvaju se u arhivi prema jedinstvenim identifikacionim oznakama iz arhivske knjige.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7" w:name="clan_21"/>
      <w:bookmarkEnd w:id="37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21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Organ predaje dokumentarni materijal koji se trajno čuva nadležnom arhivu promenom statusa u Pisarnici u "predato arhivu".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Softversko rešenje eArhiv omogućava upravljanje označenim dokumentarnim materijalom iz stava 1.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ovog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člana ovlašćenim licima iz nadležnog arhiva.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lastRenderedPageBreak/>
        <w:t xml:space="preserve">Arhiviran dokumentarni materijal u papirnom obliku predaje se nadležnom arhivu u skladu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propisima. </w:t>
      </w:r>
    </w:p>
    <w:p w:rsidR="00682F47" w:rsidRPr="00682F47" w:rsidRDefault="00682F47" w:rsidP="00682F4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8" w:name="str_17"/>
      <w:bookmarkEnd w:id="38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Prelazne i završne odredbe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9" w:name="clan_22"/>
      <w:bookmarkEnd w:id="39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22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Ministar nadležan za poslove u oblasti uprave doneće uputstvo o sprovođenju ove uredbe roku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6 meseci od dana stupanja na snagu ove uredbe.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0" w:name="clan_23"/>
      <w:bookmarkEnd w:id="40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23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Organi koji su uspostavili sopstveno softversko rešenje u kojem se vodi evidencija o predmetima pre stupanja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snagu ove uredbe dužni su da u roku od tri godine od dana stupanja na snagu ove uredbe ove poslove obavljaju preko Pisarnice.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Organi koji su uspostavili sopstveno softversko rešenje za upravljanje dokumentima pre stupanja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snagu ove uredbe dužni su da u roku od tri godine od dana stupanja na snagu ove uredbe usklade taj sistem da odredbama ove uredbe ili preuzmu Sistem za upravljanje dokumentima koji uspostavi nadležni organ.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1" w:name="clan_24"/>
      <w:bookmarkEnd w:id="41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24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Kancelarijsko poslovanje u vezi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sa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postupcima koji nisu okončani do početka primene ove uredbe nastavlja da se vrši primenom propisa saglasnom kojima je otpočeto, odnosno formiran predmet, a uskladiće se i nastaviti voditi saglasno odredbama ove uredbe - najkasnije u roku od tri meseca od dana početka primene ove uredbe.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2" w:name="clan_25"/>
      <w:bookmarkEnd w:id="42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25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Početkom primene ove uredbe prestaju da važe Uredba o kancelarijskom poslovanju organa državne uprave ("Službeni glasnik RS", br. 80/92, 45/16 i 98/16) i Uredba o elektronskom kancelarijskom poslovanju organa državne uprave ("Službeni glasnik RS", br. 40/10 i 42/17), osim u postupcima koju su započeti a nisu okončani do njenog početka primene a najkasnije do isteka roka iz člana 24.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uredbe.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3" w:name="clan_26"/>
      <w:bookmarkEnd w:id="43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26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Ova uredba stupa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snagu osmog dana od dana objavljivanja u "Službenom glasniku Republike Srbije", a primenjuje od 1.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aprila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2021.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godine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, osim odredbe člana 22.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ove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uredbe koja se primenjuje od dana stupanja na snagu ove uredbe.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4" w:name="clan_26a"/>
      <w:bookmarkEnd w:id="44"/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26a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Primena odredaba čl.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1-21. i čl.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23-25. Uredbe o kancelarijskom poslovanju organa državne uprave ("Službeni glasnik RS", broj 21/20) odlaže se do 1.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februara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2022.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godine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>.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> </w:t>
      </w:r>
    </w:p>
    <w:p w:rsidR="00682F47" w:rsidRPr="00682F47" w:rsidRDefault="00682F47" w:rsidP="00682F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  <w:r w:rsidRPr="00682F47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lastRenderedPageBreak/>
        <w:t>Samostalni član Uredbe o dopuni</w:t>
      </w:r>
      <w:r w:rsidRPr="00682F47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br/>
        <w:t xml:space="preserve">Uredbe o kancelarijskom poslovanju organa državne uprave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682F47">
        <w:rPr>
          <w:rFonts w:ascii="Arial" w:eastAsia="Times New Roman" w:hAnsi="Arial" w:cs="Arial"/>
          <w:i/>
          <w:iCs/>
          <w:kern w:val="0"/>
          <w14:ligatures w14:val="none"/>
        </w:rPr>
        <w:t>("Sl. glasnik RS", br. 32/2021)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Ova uredba stupa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snagu danom objavljivanja u "Službenom glasniku Republike Srbije".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> </w:t>
      </w:r>
    </w:p>
    <w:p w:rsidR="00682F47" w:rsidRPr="00682F47" w:rsidRDefault="00682F47" w:rsidP="00682F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  <w:r w:rsidRPr="00682F47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t>Samostalni članovi Uredbe izmenama i dopunama</w:t>
      </w:r>
      <w:r w:rsidRPr="00682F47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br/>
        <w:t xml:space="preserve">Uredbe o kancelarijskom poslovanju organa državne uprave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682F47">
        <w:rPr>
          <w:rFonts w:ascii="Arial" w:eastAsia="Times New Roman" w:hAnsi="Arial" w:cs="Arial"/>
          <w:i/>
          <w:iCs/>
          <w:kern w:val="0"/>
          <w14:ligatures w14:val="none"/>
        </w:rPr>
        <w:t>("Sl. glasnik RS", br. 14/2023)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14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Organi koji su, do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dana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stupanja na snagu ove uredbe, uspostavili i primenjuju sopstveni Sistem za upravljanje dokumentima tj.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posebno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softversko rešenje u kojem se vodi evidencija o predmetima dužni su da u roku od godinu dana od dana stupanja na snagu ove uredbe obezbede da se poslovi kancelarijskog poslovanja obavljaju korišćenjem jedinstvenog softverskog rešenja u kojem se vodi centralizovana evidencija o dokumentarnom materijalu. </w:t>
      </w:r>
    </w:p>
    <w:p w:rsidR="00682F47" w:rsidRPr="00682F47" w:rsidRDefault="00682F47" w:rsidP="00682F4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82F4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15 </w:t>
      </w:r>
    </w:p>
    <w:p w:rsidR="00682F47" w:rsidRPr="00682F47" w:rsidRDefault="00682F47" w:rsidP="00682F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682F47">
        <w:rPr>
          <w:rFonts w:ascii="Arial" w:eastAsia="Times New Roman" w:hAnsi="Arial" w:cs="Arial"/>
          <w:kern w:val="0"/>
          <w14:ligatures w14:val="none"/>
        </w:rPr>
        <w:t xml:space="preserve">Ova uredba stupa </w:t>
      </w:r>
      <w:proofErr w:type="gramStart"/>
      <w:r w:rsidRPr="00682F47">
        <w:rPr>
          <w:rFonts w:ascii="Arial" w:eastAsia="Times New Roman" w:hAnsi="Arial" w:cs="Arial"/>
          <w:kern w:val="0"/>
          <w14:ligatures w14:val="none"/>
        </w:rPr>
        <w:t>na</w:t>
      </w:r>
      <w:proofErr w:type="gramEnd"/>
      <w:r w:rsidRPr="00682F47">
        <w:rPr>
          <w:rFonts w:ascii="Arial" w:eastAsia="Times New Roman" w:hAnsi="Arial" w:cs="Arial"/>
          <w:kern w:val="0"/>
          <w14:ligatures w14:val="none"/>
        </w:rPr>
        <w:t xml:space="preserve"> snagu osmog dana od dana objavljivanja u "Službenom glasniku Republike Srbije". </w:t>
      </w:r>
    </w:p>
    <w:p w:rsidR="00D8173C" w:rsidRDefault="00D8173C"/>
    <w:sectPr w:rsidR="00D8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47"/>
    <w:rsid w:val="005F3B39"/>
    <w:rsid w:val="00682F47"/>
    <w:rsid w:val="00D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1</cp:revision>
  <dcterms:created xsi:type="dcterms:W3CDTF">2023-11-27T08:35:00Z</dcterms:created>
  <dcterms:modified xsi:type="dcterms:W3CDTF">2023-11-27T08:37:00Z</dcterms:modified>
</cp:coreProperties>
</file>