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84" w:rsidRPr="000E4245" w:rsidRDefault="00170984" w:rsidP="00E6237F">
      <w:pPr>
        <w:jc w:val="center"/>
        <w:rPr>
          <w:b/>
          <w:bCs/>
          <w:color w:val="000000" w:themeColor="text1"/>
          <w:lang w:val="sr-Cyrl-RS"/>
        </w:rPr>
      </w:pPr>
      <w:bookmarkStart w:id="0" w:name="_GoBack"/>
      <w:bookmarkEnd w:id="0"/>
      <w:r w:rsidRPr="000E4245">
        <w:rPr>
          <w:b/>
          <w:bCs/>
          <w:color w:val="000000" w:themeColor="text1"/>
          <w:lang w:val="sr-Cyrl-RS"/>
        </w:rPr>
        <w:t>ЈАВНИ КОНКУРС</w:t>
      </w:r>
    </w:p>
    <w:p w:rsidR="00E6237F" w:rsidRPr="003F13A0" w:rsidRDefault="00170984" w:rsidP="003F13A0">
      <w:pPr>
        <w:jc w:val="center"/>
        <w:rPr>
          <w:b/>
          <w:bCs/>
          <w:color w:val="000000" w:themeColor="text1"/>
          <w:lang w:val="sr-Cyrl-RS"/>
        </w:rPr>
      </w:pPr>
      <w:r w:rsidRPr="000E4245">
        <w:rPr>
          <w:b/>
          <w:bCs/>
          <w:color w:val="000000" w:themeColor="text1"/>
          <w:lang w:val="sr-Cyrl-RS"/>
        </w:rPr>
        <w:t xml:space="preserve">за суфинансирање </w:t>
      </w:r>
      <w:r w:rsidR="00E6237F">
        <w:rPr>
          <w:b/>
          <w:bCs/>
          <w:color w:val="000000" w:themeColor="text1"/>
          <w:lang w:val="sr-Cyrl-RS"/>
        </w:rPr>
        <w:t xml:space="preserve">спровођења </w:t>
      </w:r>
      <w:r w:rsidRPr="000E4245">
        <w:rPr>
          <w:b/>
          <w:bCs/>
          <w:color w:val="000000" w:themeColor="text1"/>
          <w:lang w:val="sr-Cyrl-RS"/>
        </w:rPr>
        <w:t>м</w:t>
      </w:r>
      <w:r w:rsidR="00E6237F">
        <w:rPr>
          <w:b/>
          <w:bCs/>
          <w:color w:val="000000" w:themeColor="text1"/>
          <w:lang w:val="sr-Cyrl-RS"/>
        </w:rPr>
        <w:t>ера смањења загађења ваздуха у Г</w:t>
      </w:r>
      <w:r w:rsidRPr="000E4245">
        <w:rPr>
          <w:b/>
          <w:bCs/>
          <w:color w:val="000000" w:themeColor="text1"/>
          <w:lang w:val="sr-Cyrl-RS"/>
        </w:rPr>
        <w:t xml:space="preserve">раду Нишу пореклом из индивидуалних </w:t>
      </w:r>
      <w:r w:rsidR="00E6237F">
        <w:rPr>
          <w:b/>
          <w:bCs/>
          <w:color w:val="000000" w:themeColor="text1"/>
          <w:lang w:val="sr-Cyrl-RS"/>
        </w:rPr>
        <w:t>извора</w:t>
      </w:r>
      <w:r w:rsidR="001316B2">
        <w:rPr>
          <w:b/>
          <w:bCs/>
          <w:color w:val="000000" w:themeColor="text1"/>
          <w:lang w:val="sr-Cyrl-RS"/>
        </w:rPr>
        <w:t xml:space="preserve"> у</w:t>
      </w:r>
      <w:r w:rsidRPr="000E4245">
        <w:rPr>
          <w:b/>
          <w:bCs/>
          <w:color w:val="000000" w:themeColor="text1"/>
          <w:lang w:val="sr-Cyrl-RS"/>
        </w:rPr>
        <w:t xml:space="preserve"> 202</w:t>
      </w:r>
      <w:r w:rsidR="00C82AC8">
        <w:rPr>
          <w:b/>
          <w:bCs/>
          <w:color w:val="000000" w:themeColor="text1"/>
          <w:lang w:val="sr-Cyrl-RS"/>
        </w:rPr>
        <w:t>3</w:t>
      </w:r>
      <w:r w:rsidR="00E6237F">
        <w:rPr>
          <w:b/>
          <w:bCs/>
          <w:color w:val="000000" w:themeColor="text1"/>
          <w:lang w:val="sr-Cyrl-RS"/>
        </w:rPr>
        <w:t xml:space="preserve">. </w:t>
      </w:r>
      <w:r w:rsidR="003F13A0">
        <w:rPr>
          <w:b/>
          <w:bCs/>
          <w:color w:val="000000" w:themeColor="text1"/>
          <w:lang w:val="sr-Cyrl-RS"/>
        </w:rPr>
        <w:t>г</w:t>
      </w:r>
      <w:r w:rsidR="001316B2">
        <w:rPr>
          <w:b/>
          <w:bCs/>
          <w:color w:val="000000" w:themeColor="text1"/>
          <w:lang w:val="sr-Cyrl-RS"/>
        </w:rPr>
        <w:t>одини</w:t>
      </w:r>
    </w:p>
    <w:p w:rsidR="00AD2728" w:rsidRPr="000E4245" w:rsidRDefault="00AD2728" w:rsidP="003F13A0">
      <w:pPr>
        <w:spacing w:before="100" w:beforeAutospacing="1" w:after="100" w:afterAutospacing="1"/>
        <w:jc w:val="center"/>
        <w:rPr>
          <w:color w:val="000000" w:themeColor="text1"/>
          <w:lang w:val="sr-Cyrl-RS"/>
        </w:rPr>
      </w:pPr>
      <w:r w:rsidRPr="000E4245">
        <w:rPr>
          <w:b/>
          <w:bCs/>
          <w:color w:val="000000" w:themeColor="text1"/>
          <w:lang w:val="sr-Cyrl-RS"/>
        </w:rPr>
        <w:t xml:space="preserve">I </w:t>
      </w:r>
      <w:r w:rsidR="00E6237F">
        <w:rPr>
          <w:b/>
          <w:bCs/>
          <w:color w:val="000000" w:themeColor="text1"/>
          <w:lang w:val="sr-Cyrl-RS"/>
        </w:rPr>
        <w:t xml:space="preserve">    </w:t>
      </w:r>
      <w:r w:rsidRPr="000E4245">
        <w:rPr>
          <w:b/>
          <w:bCs/>
          <w:color w:val="000000" w:themeColor="text1"/>
          <w:lang w:val="sr-Cyrl-RS"/>
        </w:rPr>
        <w:t>УСЛОВИ ПРИЈАВЕ НА КОНКУРС</w:t>
      </w:r>
    </w:p>
    <w:p w:rsidR="00E6237F" w:rsidRPr="009B3294" w:rsidRDefault="003205A4" w:rsidP="003205A4">
      <w:pPr>
        <w:jc w:val="both"/>
        <w:rPr>
          <w:b/>
          <w:bCs/>
          <w:color w:val="auto"/>
          <w:lang w:val="sr-Cyrl-RS"/>
        </w:rPr>
      </w:pPr>
      <w:r>
        <w:rPr>
          <w:bCs/>
          <w:color w:val="auto"/>
          <w:lang w:val="sr-Cyrl-RS"/>
        </w:rPr>
        <w:t xml:space="preserve">          </w:t>
      </w:r>
      <w:r w:rsidR="00E6237F" w:rsidRPr="009B3294">
        <w:rPr>
          <w:b/>
          <w:bCs/>
          <w:color w:val="auto"/>
          <w:lang w:val="sr-Cyrl-RS"/>
        </w:rPr>
        <w:t>Право учешћа на конкурсу имају грађани који испуњавају следеће услове:</w:t>
      </w:r>
    </w:p>
    <w:p w:rsidR="003205A4" w:rsidRPr="00E16F6D" w:rsidRDefault="003205A4" w:rsidP="00E6237F">
      <w:pPr>
        <w:ind w:firstLine="612"/>
        <w:jc w:val="both"/>
        <w:rPr>
          <w:bCs/>
          <w:color w:val="auto"/>
          <w:lang w:val="sr-Cyrl-RS"/>
        </w:rPr>
      </w:pPr>
    </w:p>
    <w:p w:rsidR="00E6237F" w:rsidRPr="00E16F6D" w:rsidRDefault="00E6237F" w:rsidP="00E6237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1077" w:hanging="357"/>
        <w:contextualSpacing/>
        <w:jc w:val="both"/>
        <w:rPr>
          <w:bCs/>
          <w:color w:val="auto"/>
          <w:lang w:val="sr-Cyrl-RS"/>
        </w:rPr>
      </w:pPr>
      <w:r w:rsidRPr="00E16F6D">
        <w:rPr>
          <w:bCs/>
          <w:color w:val="auto"/>
          <w:lang w:val="sr-Cyrl-RS"/>
        </w:rPr>
        <w:t xml:space="preserve">да је подносилац пријаве власник/сувласник и да живи на адреси објекта у коме се врши замена лаожишта (према решењу за порез и фотокопији личне карте), </w:t>
      </w:r>
    </w:p>
    <w:p w:rsidR="00E6237F" w:rsidRPr="00E6237F" w:rsidRDefault="00E6237F" w:rsidP="00E6237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1077" w:hanging="357"/>
        <w:contextualSpacing/>
        <w:jc w:val="both"/>
        <w:rPr>
          <w:bCs/>
          <w:color w:val="auto"/>
          <w:lang w:val="sr-Cyrl-RS"/>
        </w:rPr>
      </w:pPr>
      <w:r w:rsidRPr="00E16F6D">
        <w:rPr>
          <w:color w:val="auto"/>
          <w:lang w:val="sr-Cyrl-RS"/>
        </w:rPr>
        <w:t>да стамбени објекат није прикључен на систем даљинског грејања</w:t>
      </w:r>
      <w:r w:rsidRPr="00E16F6D">
        <w:rPr>
          <w:color w:val="auto"/>
          <w:lang w:val="sr-Latn-RS"/>
        </w:rPr>
        <w:t xml:space="preserve"> </w:t>
      </w:r>
      <w:r w:rsidRPr="00E16F6D">
        <w:rPr>
          <w:color w:val="auto"/>
          <w:lang w:val="sr-Cyrl-RS"/>
        </w:rPr>
        <w:t>или дистрибутивну мрежу природног гаса;</w:t>
      </w:r>
    </w:p>
    <w:p w:rsidR="00E6237F" w:rsidRDefault="00E6237F" w:rsidP="00E6237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1077" w:hanging="357"/>
        <w:contextualSpacing/>
        <w:jc w:val="both"/>
        <w:rPr>
          <w:bCs/>
          <w:color w:val="auto"/>
          <w:lang w:val="sr-Cyrl-RS"/>
        </w:rPr>
      </w:pPr>
      <w:r w:rsidRPr="00E16F6D">
        <w:rPr>
          <w:bCs/>
          <w:color w:val="auto"/>
          <w:lang w:val="sr-Cyrl-RS"/>
        </w:rPr>
        <w:t>да поседује један од следећих доказа за стамбени објекат:</w:t>
      </w:r>
    </w:p>
    <w:p w:rsidR="00E6237F" w:rsidRPr="00E16F6D" w:rsidRDefault="00E6237F" w:rsidP="00E623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ind w:left="1077"/>
        <w:contextualSpacing/>
        <w:jc w:val="both"/>
        <w:rPr>
          <w:bCs/>
          <w:color w:val="auto"/>
          <w:lang w:val="sr-Cyrl-RS"/>
        </w:rPr>
      </w:pPr>
    </w:p>
    <w:p w:rsidR="00E6237F" w:rsidRPr="00E16F6D" w:rsidRDefault="00E6237F" w:rsidP="00E6237F">
      <w:pPr>
        <w:pStyle w:val="ListParagraph"/>
        <w:numPr>
          <w:ilvl w:val="1"/>
          <w:numId w:val="15"/>
        </w:num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16F6D">
        <w:rPr>
          <w:rFonts w:ascii="Times New Roman" w:hAnsi="Times New Roman"/>
          <w:bCs/>
          <w:sz w:val="24"/>
          <w:szCs w:val="24"/>
          <w:lang w:val="sr-Cyrl-RS"/>
        </w:rPr>
        <w:t>доказ о изградњи објекта пре доношења прописа о изградњи,</w:t>
      </w:r>
    </w:p>
    <w:p w:rsidR="00E6237F" w:rsidRPr="00E16F6D" w:rsidRDefault="00E6237F" w:rsidP="00E6237F">
      <w:pPr>
        <w:pStyle w:val="ListParagraph"/>
        <w:numPr>
          <w:ilvl w:val="1"/>
          <w:numId w:val="15"/>
        </w:num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16F6D">
        <w:rPr>
          <w:rFonts w:ascii="Times New Roman" w:hAnsi="Times New Roman"/>
          <w:bCs/>
          <w:sz w:val="24"/>
          <w:szCs w:val="24"/>
          <w:lang w:val="sr-Cyrl-RS"/>
        </w:rPr>
        <w:t>грађевинску ИЛИ употребну дозволу добијену кроз редован поступак обезбеђења дозволе,</w:t>
      </w:r>
    </w:p>
    <w:p w:rsidR="00E6237F" w:rsidRPr="00E16F6D" w:rsidRDefault="00E6237F" w:rsidP="00E6237F">
      <w:pPr>
        <w:pStyle w:val="ListParagraph"/>
        <w:numPr>
          <w:ilvl w:val="1"/>
          <w:numId w:val="15"/>
        </w:num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16F6D">
        <w:rPr>
          <w:rFonts w:ascii="Times New Roman" w:hAnsi="Times New Roman"/>
          <w:bCs/>
          <w:sz w:val="24"/>
          <w:szCs w:val="24"/>
          <w:lang w:val="sr-Cyrl-RS"/>
        </w:rPr>
        <w:t>грађевинску дозволу ИЛИ употребну дозволу добијену из поступка легализације или</w:t>
      </w:r>
    </w:p>
    <w:p w:rsidR="00E6237F" w:rsidRDefault="00E6237F" w:rsidP="00E6237F">
      <w:pPr>
        <w:pStyle w:val="ListParagraph"/>
        <w:numPr>
          <w:ilvl w:val="1"/>
          <w:numId w:val="15"/>
        </w:num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16F6D">
        <w:rPr>
          <w:rFonts w:ascii="Times New Roman" w:hAnsi="Times New Roman"/>
          <w:bCs/>
          <w:sz w:val="24"/>
          <w:szCs w:val="24"/>
          <w:lang w:val="sr-Cyrl-RS"/>
        </w:rPr>
        <w:t>решење о озакоњењу.</w:t>
      </w:r>
    </w:p>
    <w:p w:rsidR="00E6237F" w:rsidRPr="00E16F6D" w:rsidRDefault="00E6237F" w:rsidP="00E6237F">
      <w:pPr>
        <w:pStyle w:val="ListParagraph"/>
        <w:spacing w:after="0" w:line="259" w:lineRule="auto"/>
        <w:ind w:left="22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6237F" w:rsidRPr="001A5EA2" w:rsidRDefault="00E6237F" w:rsidP="00E6237F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/>
          <w:bCs/>
          <w:sz w:val="24"/>
          <w:szCs w:val="24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</w:pPr>
      <w:r w:rsidRPr="001A5EA2">
        <w:rPr>
          <w:rFonts w:ascii="Times New Roman" w:hAnsi="Times New Roman"/>
          <w:bCs/>
          <w:sz w:val="24"/>
          <w:szCs w:val="24"/>
          <w:lang w:val="sr-Cyrl-RS"/>
        </w:rPr>
        <w:t>да поседује уверење</w:t>
      </w:r>
      <w:r w:rsidRPr="001A5EA2">
        <w:rPr>
          <w:bCs/>
          <w:sz w:val="24"/>
          <w:szCs w:val="24"/>
          <w:lang w:val="sr-Cyrl-RS"/>
        </w:rPr>
        <w:t xml:space="preserve"> </w:t>
      </w:r>
      <w:r w:rsidRPr="001A5EA2">
        <w:rPr>
          <w:rFonts w:ascii="Times New Roman" w:hAnsi="Times New Roman"/>
          <w:bCs/>
          <w:sz w:val="24"/>
          <w:szCs w:val="24"/>
          <w:lang w:val="sr-Cyrl-RS"/>
        </w:rPr>
        <w:t>да</w:t>
      </w:r>
      <w:r w:rsidRPr="001A5EA2">
        <w:rPr>
          <w:rFonts w:ascii="Times New Roman" w:eastAsia="Times New Roman" w:hAnsi="Times New Roman"/>
          <w:bCs/>
          <w:sz w:val="24"/>
          <w:szCs w:val="24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 има пријављену имовину на територији Града Ниша и да на дан изадавања уверења, нема дуговања </w:t>
      </w:r>
      <w:r w:rsidRPr="001A5EA2">
        <w:rPr>
          <w:rFonts w:ascii="Times New Roman" w:eastAsia="Times New Roman" w:hAnsi="Times New Roman"/>
          <w:bCs/>
          <w:sz w:val="24"/>
          <w:szCs w:val="24"/>
          <w:u w:val="single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по основу пореза за имовину</w:t>
      </w:r>
      <w:r>
        <w:rPr>
          <w:rFonts w:ascii="Times New Roman" w:eastAsia="Times New Roman" w:hAnsi="Times New Roman"/>
          <w:bCs/>
          <w:sz w:val="24"/>
          <w:szCs w:val="24"/>
          <w:bdr w:val="nil"/>
          <w:lang w:val="sr-Latn-R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1A5EA2">
        <w:rPr>
          <w:rFonts w:ascii="Times New Roman" w:eastAsia="Times New Roman" w:hAnsi="Times New Roman"/>
          <w:bCs/>
          <w:sz w:val="24"/>
          <w:szCs w:val="24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>на  уплатним рачунима које администрира Градска управа за финансије-Сектор за локалну пореску администрацију;</w:t>
      </w:r>
    </w:p>
    <w:p w:rsidR="00AD2728" w:rsidRPr="009B3294" w:rsidRDefault="003205A4" w:rsidP="00AD2728">
      <w:pPr>
        <w:spacing w:before="100" w:beforeAutospacing="1" w:after="100" w:afterAutospacing="1"/>
        <w:rPr>
          <w:b/>
          <w:color w:val="000000" w:themeColor="text1"/>
          <w:lang w:val="sr-Cyrl-RS"/>
        </w:rPr>
      </w:pPr>
      <w:r w:rsidRPr="009B3294">
        <w:rPr>
          <w:b/>
          <w:bCs/>
          <w:color w:val="000000" w:themeColor="text1"/>
          <w:lang w:val="sr-Cyrl-RS"/>
        </w:rPr>
        <w:t xml:space="preserve">           </w:t>
      </w:r>
      <w:r w:rsidR="00AD2728" w:rsidRPr="009B3294">
        <w:rPr>
          <w:b/>
          <w:bCs/>
          <w:color w:val="000000" w:themeColor="text1"/>
          <w:lang w:val="sr-Cyrl-RS"/>
        </w:rPr>
        <w:t>Право учешћа на Конкурсу немају</w:t>
      </w:r>
      <w:r w:rsidR="00AD2728" w:rsidRPr="009B3294">
        <w:rPr>
          <w:b/>
          <w:color w:val="000000" w:themeColor="text1"/>
          <w:lang w:val="sr-Cyrl-RS"/>
        </w:rPr>
        <w:t xml:space="preserve"> </w:t>
      </w:r>
      <w:r w:rsidR="00AD2728" w:rsidRPr="009B3294">
        <w:rPr>
          <w:b/>
          <w:bCs/>
          <w:color w:val="000000" w:themeColor="text1"/>
          <w:lang w:val="sr-Cyrl-RS"/>
        </w:rPr>
        <w:t>:</w:t>
      </w:r>
    </w:p>
    <w:p w:rsidR="00E6237F" w:rsidRPr="00E16F6D" w:rsidRDefault="00E6237F" w:rsidP="00E623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власници посебних делова стамбено-пословног објекта који не служе за становање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6237F" w:rsidRPr="00E16F6D" w:rsidRDefault="00E6237F" w:rsidP="00E623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власници стамбених објеката који су у претходном периоду користили средства Града Ниша за слич</w:t>
      </w:r>
      <w:r>
        <w:rPr>
          <w:rFonts w:ascii="Times New Roman" w:hAnsi="Times New Roman"/>
          <w:sz w:val="24"/>
          <w:szCs w:val="24"/>
          <w:lang w:val="sr-Cyrl-RS"/>
        </w:rPr>
        <w:t>не активности;</w:t>
      </w:r>
    </w:p>
    <w:p w:rsidR="00E6237F" w:rsidRPr="00E16F6D" w:rsidRDefault="00E6237F" w:rsidP="00E623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власници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:rsidR="00E6237F" w:rsidRPr="00E6237F" w:rsidRDefault="00E6237F" w:rsidP="00E6237F">
      <w:pPr>
        <w:tabs>
          <w:tab w:val="left" w:pos="709"/>
        </w:tabs>
        <w:jc w:val="both"/>
        <w:rPr>
          <w:b/>
          <w:color w:val="auto"/>
          <w:lang w:val="sr-Cyrl-RS"/>
        </w:rPr>
      </w:pPr>
      <w:r w:rsidRPr="00E16F6D">
        <w:rPr>
          <w:b/>
          <w:color w:val="auto"/>
          <w:lang w:val="sr-Cyrl-RS"/>
        </w:rPr>
        <w:tab/>
      </w:r>
      <w:r w:rsidRPr="00E6237F">
        <w:rPr>
          <w:rFonts w:eastAsia="Calibri"/>
          <w:b/>
          <w:color w:val="000000" w:themeColor="text1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ab/>
      </w:r>
    </w:p>
    <w:p w:rsidR="00E913E3" w:rsidRPr="000E4245" w:rsidRDefault="003205A4" w:rsidP="003205A4">
      <w:pPr>
        <w:autoSpaceDE w:val="0"/>
        <w:autoSpaceDN w:val="0"/>
        <w:adjustRightInd w:val="0"/>
        <w:spacing w:line="259" w:lineRule="auto"/>
        <w:jc w:val="both"/>
        <w:rPr>
          <w:color w:val="000000" w:themeColor="text1"/>
          <w:lang w:val="sr-Cyrl-RS"/>
        </w:rPr>
      </w:pPr>
      <w:r>
        <w:rPr>
          <w:b/>
          <w:color w:val="000000" w:themeColor="text1"/>
          <w:lang w:val="sr-Cyrl-RS"/>
        </w:rPr>
        <w:t xml:space="preserve">          </w:t>
      </w:r>
      <w:r w:rsidR="00E913E3" w:rsidRPr="000E4245">
        <w:rPr>
          <w:b/>
          <w:color w:val="000000" w:themeColor="text1"/>
          <w:lang w:val="sr-Cyrl-RS"/>
        </w:rPr>
        <w:t>Напомена:</w:t>
      </w:r>
      <w:r w:rsidR="00E913E3" w:rsidRPr="000E4245">
        <w:rPr>
          <w:color w:val="000000" w:themeColor="text1"/>
          <w:lang w:val="sr-Cyrl-RS"/>
        </w:rPr>
        <w:t xml:space="preserve"> Конкурсом се неће финансирати мере смањења загађења ваздуха у Граду Нишу п</w:t>
      </w:r>
      <w:r w:rsidR="001316B2">
        <w:rPr>
          <w:color w:val="000000" w:themeColor="text1"/>
          <w:lang w:val="sr-Cyrl-RS"/>
        </w:rPr>
        <w:t>ореклом из индивидуалних извора</w:t>
      </w:r>
      <w:r w:rsidR="00E913E3" w:rsidRPr="000E4245">
        <w:rPr>
          <w:color w:val="000000" w:themeColor="text1"/>
          <w:lang w:val="sr-Cyrl-RS"/>
        </w:rPr>
        <w:t xml:space="preserve"> у 202</w:t>
      </w:r>
      <w:r w:rsidR="00C82AC8">
        <w:rPr>
          <w:color w:val="000000" w:themeColor="text1"/>
          <w:lang w:val="sr-Cyrl-RS"/>
        </w:rPr>
        <w:t>3</w:t>
      </w:r>
      <w:r w:rsidR="00E913E3" w:rsidRPr="000E4245">
        <w:rPr>
          <w:color w:val="000000" w:themeColor="text1"/>
          <w:lang w:val="sr-Cyrl-RS"/>
        </w:rPr>
        <w:t xml:space="preserve">. години који се односе на пословне објекте. </w:t>
      </w:r>
    </w:p>
    <w:p w:rsidR="003F13A0" w:rsidRDefault="00E913E3" w:rsidP="003F13A0">
      <w:pPr>
        <w:tabs>
          <w:tab w:val="left" w:pos="709"/>
        </w:tabs>
        <w:jc w:val="both"/>
        <w:rPr>
          <w:b/>
          <w:color w:val="000000" w:themeColor="text1"/>
          <w:lang w:val="sr-Cyrl-RS"/>
        </w:rPr>
      </w:pPr>
      <w:r w:rsidRPr="000E4245">
        <w:rPr>
          <w:b/>
          <w:color w:val="000000" w:themeColor="text1"/>
          <w:lang w:val="sr-Cyrl-RS"/>
        </w:rPr>
        <w:tab/>
      </w:r>
    </w:p>
    <w:p w:rsidR="00AD2728" w:rsidRDefault="00AD2728" w:rsidP="003F13A0">
      <w:pPr>
        <w:tabs>
          <w:tab w:val="left" w:pos="709"/>
        </w:tabs>
        <w:jc w:val="center"/>
        <w:rPr>
          <w:b/>
          <w:bCs/>
          <w:color w:val="000000" w:themeColor="text1"/>
          <w:lang w:val="sr-Cyrl-RS"/>
        </w:rPr>
      </w:pPr>
      <w:r w:rsidRPr="000E4245">
        <w:rPr>
          <w:b/>
          <w:bCs/>
          <w:color w:val="000000" w:themeColor="text1"/>
          <w:lang w:val="sr-Cyrl-RS"/>
        </w:rPr>
        <w:t xml:space="preserve">II </w:t>
      </w:r>
      <w:r w:rsidR="00E6237F">
        <w:rPr>
          <w:b/>
          <w:bCs/>
          <w:color w:val="000000" w:themeColor="text1"/>
          <w:lang w:val="sr-Cyrl-RS"/>
        </w:rPr>
        <w:t xml:space="preserve">       </w:t>
      </w:r>
      <w:r w:rsidR="00EE59C7" w:rsidRPr="000E4245">
        <w:rPr>
          <w:b/>
          <w:bCs/>
          <w:color w:val="000000" w:themeColor="text1"/>
          <w:lang w:val="sr-Cyrl-RS"/>
        </w:rPr>
        <w:t>МЕРЕ СУФИНАНСИРАЊА:</w:t>
      </w:r>
    </w:p>
    <w:p w:rsidR="003F13A0" w:rsidRPr="003F13A0" w:rsidRDefault="003F13A0" w:rsidP="003F13A0">
      <w:pPr>
        <w:tabs>
          <w:tab w:val="left" w:pos="709"/>
        </w:tabs>
        <w:jc w:val="center"/>
        <w:rPr>
          <w:b/>
          <w:color w:val="000000" w:themeColor="text1"/>
          <w:lang w:val="sr-Cyrl-RS"/>
        </w:rPr>
      </w:pPr>
    </w:p>
    <w:p w:rsidR="00E6237F" w:rsidRPr="003F13A0" w:rsidRDefault="007F6E10" w:rsidP="007F6E10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 w:rsidRPr="003F13A0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Замена постојећих  уређаја за грејање ефикаснијим уређајима на пелет:</w:t>
      </w:r>
    </w:p>
    <w:p w:rsidR="00C82AC8" w:rsidRPr="00C82AC8" w:rsidRDefault="00C82AC8" w:rsidP="00C82AC8">
      <w:pPr>
        <w:numPr>
          <w:ilvl w:val="0"/>
          <w:numId w:val="3"/>
        </w:numPr>
        <w:jc w:val="both"/>
        <w:rPr>
          <w:rFonts w:eastAsia="Calibri"/>
          <w:color w:val="000000" w:themeColor="text1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C82AC8">
        <w:rPr>
          <w:rFonts w:eastAsia="Calibri"/>
          <w:color w:val="000000" w:themeColor="text1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Максимално учешће Града до 50% укупне вредности котла са ПДВ</w:t>
      </w:r>
      <w:r w:rsidRPr="00C82AC8">
        <w:rPr>
          <w:rFonts w:eastAsia="Calibri"/>
          <w:color w:val="000000" w:themeColor="text1"/>
          <w:bdr w:val="none" w:sz="0" w:space="0" w:color="auto"/>
          <w:vertAlign w:val="superscript"/>
          <w:lang w:val="sr-Cyrl-RS"/>
          <w14:textOutline w14:w="0" w14:cap="rnd" w14:cmpd="sng" w14:algn="ctr">
            <w14:noFill/>
            <w14:prstDash w14:val="solid"/>
            <w14:bevel/>
          </w14:textOutline>
        </w:rPr>
        <w:footnoteReference w:id="1"/>
      </w:r>
      <w:r w:rsidRPr="00C82AC8">
        <w:rPr>
          <w:rFonts w:eastAsia="Calibri"/>
          <w:color w:val="000000" w:themeColor="text1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7F6E10" w:rsidRPr="003F13A0" w:rsidRDefault="00C82AC8" w:rsidP="003F13A0">
      <w:pPr>
        <w:numPr>
          <w:ilvl w:val="0"/>
          <w:numId w:val="3"/>
        </w:numPr>
        <w:jc w:val="both"/>
        <w:rPr>
          <w:rFonts w:eastAsia="Calibri"/>
          <w:b/>
          <w:color w:val="000000" w:themeColor="text1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C82AC8">
        <w:rPr>
          <w:rFonts w:eastAsia="Calibri"/>
          <w:color w:val="000000" w:themeColor="text1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Планирана средства </w:t>
      </w:r>
      <w:r w:rsidRPr="00C82AC8">
        <w:rPr>
          <w:rFonts w:eastAsia="Calibri"/>
          <w:b/>
          <w:color w:val="000000" w:themeColor="text1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10.000.000,00 </w:t>
      </w:r>
      <w:r w:rsidRPr="00C82AC8">
        <w:rPr>
          <w:rFonts w:eastAsia="Calibri"/>
          <w:color w:val="000000" w:themeColor="text1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динара.</w:t>
      </w:r>
    </w:p>
    <w:p w:rsidR="003F13A0" w:rsidRDefault="003F13A0" w:rsidP="007F6E10">
      <w:pPr>
        <w:pStyle w:val="ListParagraph"/>
        <w:spacing w:after="0" w:line="240" w:lineRule="auto"/>
        <w:ind w:left="1503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3205A4" w:rsidRDefault="003205A4" w:rsidP="007F6E10">
      <w:pPr>
        <w:pStyle w:val="ListParagraph"/>
        <w:spacing w:after="0" w:line="240" w:lineRule="auto"/>
        <w:ind w:left="1503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3205A4" w:rsidRPr="000E4245" w:rsidRDefault="003205A4" w:rsidP="007F6E10">
      <w:pPr>
        <w:pStyle w:val="ListParagraph"/>
        <w:spacing w:after="0" w:line="240" w:lineRule="auto"/>
        <w:ind w:left="1503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3F13A0" w:rsidRDefault="007F6E10" w:rsidP="007F6E10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 w:rsidRPr="003F13A0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Замена постојећих  уређаја за грејање ефикаснијим уређајима на гас:</w:t>
      </w:r>
    </w:p>
    <w:p w:rsidR="003205A4" w:rsidRPr="003F13A0" w:rsidRDefault="003205A4" w:rsidP="003205A4">
      <w:pPr>
        <w:pStyle w:val="ListParagraph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E6237F" w:rsidRPr="00E6237F" w:rsidRDefault="00E6237F" w:rsidP="00E6237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E6237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Максимално учешће Града  до 50% укупне вредности котла са ПДВ.</w:t>
      </w:r>
    </w:p>
    <w:p w:rsidR="00370BD7" w:rsidRPr="009B3294" w:rsidRDefault="00E6237F" w:rsidP="0006465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E6237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Планирана средства </w:t>
      </w:r>
      <w:r w:rsidRPr="0011529C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10.000.000,00</w:t>
      </w:r>
      <w:r w:rsidRPr="00E6237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динара.</w:t>
      </w:r>
      <w:r w:rsidR="003F13A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</w:t>
      </w:r>
    </w:p>
    <w:p w:rsidR="007F6E10" w:rsidRDefault="003205A4" w:rsidP="003205A4">
      <w:pPr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</w:t>
      </w:r>
      <w:r w:rsidR="007F6E10" w:rsidRPr="000E4245">
        <w:rPr>
          <w:color w:val="000000" w:themeColor="text1"/>
          <w:lang w:val="sr-Cyrl-RS"/>
        </w:rPr>
        <w:t>Додатни услови за доделу средстава подстицаја:</w:t>
      </w:r>
    </w:p>
    <w:p w:rsidR="003205A4" w:rsidRPr="000E4245" w:rsidRDefault="003205A4" w:rsidP="003205A4">
      <w:pPr>
        <w:rPr>
          <w:color w:val="000000" w:themeColor="text1"/>
          <w:lang w:val="sr-Cyrl-RS"/>
        </w:rPr>
      </w:pPr>
    </w:p>
    <w:p w:rsidR="007F6E10" w:rsidRPr="000E4245" w:rsidRDefault="007F6E10" w:rsidP="007F6E1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Уколико стамбени објекат има два или више власника, пријаву подноси један од власника уз писмену сагласност осталих власника</w:t>
      </w:r>
      <w:r w:rsidRPr="000E42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13A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оверену код нотара;</w:t>
      </w:r>
      <w:r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7F6E10" w:rsidRPr="000E4245" w:rsidRDefault="007F6E10" w:rsidP="007F6E1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Двојни објекти различитих власника као и објекти у низу третирају се као засебни објекти</w:t>
      </w:r>
      <w:r w:rsidR="003F13A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</w:t>
      </w:r>
    </w:p>
    <w:p w:rsidR="007F6E10" w:rsidRPr="000E4245" w:rsidRDefault="007F6E10" w:rsidP="007F6E1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Власници посебних делова  у стамбеном објекту подносе појединачне пријаве.</w:t>
      </w:r>
    </w:p>
    <w:p w:rsidR="00E46302" w:rsidRPr="003205A4" w:rsidRDefault="00E46302" w:rsidP="003205A4">
      <w:pPr>
        <w:jc w:val="both"/>
        <w:rPr>
          <w:color w:val="000000" w:themeColor="text1"/>
          <w:lang w:val="sr-Cyrl-RS"/>
        </w:rPr>
      </w:pPr>
    </w:p>
    <w:p w:rsidR="005F5E91" w:rsidRPr="000E4245" w:rsidRDefault="00EE59C7" w:rsidP="003205A4">
      <w:pPr>
        <w:jc w:val="center"/>
        <w:rPr>
          <w:b/>
          <w:bCs/>
          <w:color w:val="000000" w:themeColor="text1"/>
          <w:lang w:val="sr-Latn-RS"/>
        </w:rPr>
      </w:pPr>
      <w:r w:rsidRPr="000E4245">
        <w:rPr>
          <w:b/>
          <w:bCs/>
          <w:color w:val="000000" w:themeColor="text1"/>
          <w:lang w:val="sr-Cyrl-RS"/>
        </w:rPr>
        <w:t xml:space="preserve">III </w:t>
      </w:r>
      <w:r w:rsidR="003205A4">
        <w:rPr>
          <w:b/>
          <w:bCs/>
          <w:color w:val="000000" w:themeColor="text1"/>
          <w:lang w:val="sr-Cyrl-RS"/>
        </w:rPr>
        <w:t xml:space="preserve">    </w:t>
      </w:r>
      <w:r w:rsidRPr="000E4245">
        <w:rPr>
          <w:b/>
          <w:bCs/>
          <w:color w:val="000000" w:themeColor="text1"/>
          <w:lang w:val="sr-Cyrl-RS"/>
        </w:rPr>
        <w:t>ПРИХВАТЉИВИ УКУПНИ ИНВЕСТИЦИОНИ ТРОШКОВИ</w:t>
      </w:r>
    </w:p>
    <w:p w:rsidR="007F6E10" w:rsidRPr="000E4245" w:rsidRDefault="007F6E10" w:rsidP="005F5E91">
      <w:pPr>
        <w:jc w:val="both"/>
        <w:rPr>
          <w:b/>
          <w:bCs/>
          <w:color w:val="000000" w:themeColor="text1"/>
          <w:lang w:val="sr-Latn-RS"/>
        </w:rPr>
      </w:pPr>
    </w:p>
    <w:p w:rsidR="00370BD7" w:rsidRPr="000E4245" w:rsidRDefault="003205A4" w:rsidP="003205A4">
      <w:pPr>
        <w:tabs>
          <w:tab w:val="left" w:pos="851"/>
        </w:tabs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</w:t>
      </w:r>
      <w:r w:rsidR="00370BD7" w:rsidRPr="000E4245">
        <w:rPr>
          <w:color w:val="000000" w:themeColor="text1"/>
          <w:lang w:val="sr-Cyrl-RS"/>
        </w:rPr>
        <w:t>Прихватљиви укупни инвестициони трошкови са ПДВ-ом односе се на набавку ложних уређаја на пелет и природни гас без трошкова уградње:</w:t>
      </w:r>
    </w:p>
    <w:p w:rsidR="00370BD7" w:rsidRPr="000E4245" w:rsidRDefault="00370BD7" w:rsidP="00370BD7">
      <w:pPr>
        <w:tabs>
          <w:tab w:val="left" w:pos="851"/>
        </w:tabs>
        <w:ind w:left="851"/>
        <w:jc w:val="both"/>
        <w:rPr>
          <w:color w:val="000000" w:themeColor="text1"/>
          <w:lang w:val="sr-Cyrl-RS"/>
        </w:rPr>
      </w:pPr>
    </w:p>
    <w:p w:rsidR="00370BD7" w:rsidRPr="000E4245" w:rsidRDefault="00370BD7" w:rsidP="00370BD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276"/>
          <w:tab w:val="left" w:pos="1985"/>
        </w:tabs>
        <w:suppressAutoHyphens w:val="0"/>
        <w:ind w:left="1985" w:hanging="284"/>
        <w:jc w:val="both"/>
        <w:rPr>
          <w:color w:val="000000" w:themeColor="text1"/>
          <w:lang w:val="sr-Cyrl-RS"/>
        </w:rPr>
      </w:pPr>
      <w:r w:rsidRPr="000E4245">
        <w:rPr>
          <w:b/>
          <w:color w:val="000000" w:themeColor="text1"/>
          <w:lang w:val="sr-Cyrl-RS"/>
        </w:rPr>
        <w:t>МЕРА 1:</w:t>
      </w:r>
      <w:r w:rsidRPr="000E4245">
        <w:rPr>
          <w:color w:val="000000" w:themeColor="text1"/>
          <w:lang w:val="sr-Cyrl-RS"/>
        </w:rPr>
        <w:t xml:space="preserve"> котао на пелет или етажна пећ на пелет које као енергент користе искључиво пелет, чији је степен корисности при номиналној топлотној снази најмање 90% (неће се одобравати средства за набавку комбинованих уређаја који као енергент користе чврсто гориво и пелет као ни уређаја који нису у систему етажног или централног грејања);</w:t>
      </w:r>
    </w:p>
    <w:p w:rsidR="00370BD7" w:rsidRPr="000E4245" w:rsidRDefault="00370BD7" w:rsidP="00370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276"/>
          <w:tab w:val="left" w:pos="1985"/>
        </w:tabs>
        <w:suppressAutoHyphens w:val="0"/>
        <w:ind w:left="1985"/>
        <w:jc w:val="both"/>
        <w:rPr>
          <w:color w:val="000000" w:themeColor="text1"/>
          <w:lang w:val="sr-Cyrl-RS"/>
        </w:rPr>
      </w:pPr>
    </w:p>
    <w:p w:rsidR="00370BD7" w:rsidRPr="000E4245" w:rsidRDefault="00370BD7" w:rsidP="00370BD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276"/>
          <w:tab w:val="left" w:pos="1985"/>
        </w:tabs>
        <w:suppressAutoHyphens w:val="0"/>
        <w:ind w:left="1985" w:hanging="284"/>
        <w:jc w:val="both"/>
        <w:rPr>
          <w:color w:val="000000" w:themeColor="text1"/>
          <w:lang w:val="sr-Cyrl-RS"/>
        </w:rPr>
      </w:pPr>
      <w:r w:rsidRPr="000E4245">
        <w:rPr>
          <w:b/>
          <w:color w:val="000000" w:themeColor="text1"/>
          <w:lang w:val="sr-Cyrl-RS"/>
        </w:rPr>
        <w:t>МЕРА 2:</w:t>
      </w:r>
      <w:r w:rsidRPr="000E4245">
        <w:rPr>
          <w:color w:val="000000" w:themeColor="text1"/>
          <w:lang w:val="sr-Cyrl-RS"/>
        </w:rPr>
        <w:t xml:space="preserve"> кондензациони котао на природни гас;</w:t>
      </w:r>
    </w:p>
    <w:p w:rsidR="00370BD7" w:rsidRPr="000E4245" w:rsidRDefault="00370BD7" w:rsidP="00370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276"/>
          <w:tab w:val="left" w:pos="1985"/>
        </w:tabs>
        <w:suppressAutoHyphens w:val="0"/>
        <w:jc w:val="both"/>
        <w:rPr>
          <w:color w:val="000000" w:themeColor="text1"/>
          <w:lang w:val="sr-Cyrl-RS"/>
        </w:rPr>
      </w:pPr>
    </w:p>
    <w:p w:rsidR="00370BD7" w:rsidRPr="000E4245" w:rsidRDefault="0011529C" w:rsidP="00370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276"/>
          <w:tab w:val="left" w:pos="1985"/>
        </w:tabs>
        <w:suppressAutoHyphens w:val="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Latn-RS"/>
        </w:rPr>
        <w:t xml:space="preserve">           </w:t>
      </w:r>
      <w:r w:rsidR="00370BD7" w:rsidRPr="000E4245">
        <w:rPr>
          <w:color w:val="000000" w:themeColor="text1"/>
          <w:lang w:val="sr-Cyrl-RS"/>
        </w:rPr>
        <w:t>Конкурсом није прописан произвођач опреме и извођач радова.</w:t>
      </w:r>
    </w:p>
    <w:p w:rsidR="003205A4" w:rsidRDefault="003205A4" w:rsidP="003205A4">
      <w:pPr>
        <w:jc w:val="both"/>
        <w:rPr>
          <w:color w:val="000000" w:themeColor="text1"/>
          <w:lang w:val="sr-Cyrl-RS"/>
        </w:rPr>
      </w:pPr>
    </w:p>
    <w:p w:rsidR="00E46302" w:rsidRPr="000E4245" w:rsidRDefault="003205A4" w:rsidP="003205A4">
      <w:pPr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 </w:t>
      </w:r>
      <w:r w:rsidR="00EE59C7" w:rsidRPr="000E4245">
        <w:rPr>
          <w:color w:val="000000" w:themeColor="text1"/>
          <w:lang w:val="sr-Cyrl-RS"/>
        </w:rPr>
        <w:t>Корисник средстава ће сам сносити трошкове радова и опреме који превазилазе прихватљиве трошкове, а односе се на уређаје на пелет са додатном опремом и слични захтеви.</w:t>
      </w:r>
    </w:p>
    <w:p w:rsidR="009A1726" w:rsidRDefault="003205A4" w:rsidP="00DF7E4D">
      <w:pPr>
        <w:jc w:val="both"/>
        <w:rPr>
          <w:color w:val="000000" w:themeColor="text1"/>
          <w:lang w:val="sr-Latn-RS"/>
        </w:rPr>
      </w:pPr>
      <w:r>
        <w:rPr>
          <w:color w:val="000000" w:themeColor="text1"/>
          <w:lang w:val="sr-Cyrl-RS"/>
        </w:rPr>
        <w:t xml:space="preserve">          </w:t>
      </w:r>
      <w:r w:rsidR="009A1726" w:rsidRPr="000E4245">
        <w:rPr>
          <w:color w:val="000000" w:themeColor="text1"/>
          <w:lang w:val="sr-Cyrl-RS"/>
        </w:rPr>
        <w:t xml:space="preserve">Трошкови радова, набавке материјала и опреме који настану пре објављивања конкурса нису прихватљиви и неће бити рефундирани. </w:t>
      </w:r>
    </w:p>
    <w:p w:rsidR="003205A4" w:rsidRDefault="003205A4" w:rsidP="003205A4">
      <w:pPr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</w:t>
      </w:r>
      <w:r w:rsidR="00370BD7" w:rsidRPr="000E4245">
        <w:rPr>
          <w:color w:val="000000" w:themeColor="text1"/>
          <w:lang w:val="sr-Cyrl-RS"/>
        </w:rPr>
        <w:t>Средства ће бити субвенционисана кориснику средстава након завршетка активности и достављања доказа из чл. 10</w:t>
      </w:r>
      <w:r>
        <w:rPr>
          <w:color w:val="000000" w:themeColor="text1"/>
          <w:lang w:val="sr-Cyrl-RS"/>
        </w:rPr>
        <w:t>.</w:t>
      </w:r>
      <w:r w:rsidR="00370BD7" w:rsidRPr="000E4245">
        <w:rPr>
          <w:color w:val="000000" w:themeColor="text1"/>
          <w:lang w:val="sr-Cyrl-RS"/>
        </w:rPr>
        <w:t xml:space="preserve"> Правилника о спровођењу мера смањења </w:t>
      </w:r>
      <w:r w:rsidR="009B3294">
        <w:rPr>
          <w:color w:val="000000" w:themeColor="text1"/>
          <w:lang w:val="sr-Cyrl-RS"/>
        </w:rPr>
        <w:t>загађења ваздуха у Г</w:t>
      </w:r>
      <w:r w:rsidR="008B5A24" w:rsidRPr="000E4245">
        <w:rPr>
          <w:color w:val="000000" w:themeColor="text1"/>
          <w:lang w:val="sr-Cyrl-RS"/>
        </w:rPr>
        <w:t>раду Нишу пореклом из индиви</w:t>
      </w:r>
      <w:r w:rsidR="001316B2">
        <w:rPr>
          <w:color w:val="000000" w:themeColor="text1"/>
          <w:lang w:val="sr-Cyrl-RS"/>
        </w:rPr>
        <w:t>дуалних извора у</w:t>
      </w:r>
      <w:r>
        <w:rPr>
          <w:color w:val="000000" w:themeColor="text1"/>
          <w:lang w:val="sr-Cyrl-RS"/>
        </w:rPr>
        <w:t xml:space="preserve"> 2023</w:t>
      </w:r>
      <w:r w:rsidR="001316B2">
        <w:rPr>
          <w:color w:val="000000" w:themeColor="text1"/>
          <w:lang w:val="sr-Cyrl-RS"/>
        </w:rPr>
        <w:t>. години</w:t>
      </w:r>
      <w:r w:rsidR="00A31DAA">
        <w:rPr>
          <w:color w:val="000000" w:themeColor="text1"/>
          <w:lang w:val="sr-Cyrl-RS"/>
        </w:rPr>
        <w:t xml:space="preserve"> (</w:t>
      </w:r>
      <w:r w:rsidR="00370BD7" w:rsidRPr="000E4245">
        <w:rPr>
          <w:color w:val="000000" w:themeColor="text1"/>
          <w:lang w:val="sr-Cyrl-RS"/>
        </w:rPr>
        <w:t>Б-Документација која се доставља након потписивања Уг</w:t>
      </w:r>
      <w:r w:rsidR="00FF1E3C">
        <w:rPr>
          <w:color w:val="000000" w:themeColor="text1"/>
          <w:lang w:val="sr-Cyrl-RS"/>
        </w:rPr>
        <w:t>овора и завршетка инвестиције),</w:t>
      </w:r>
      <w:r w:rsidR="00FF1E3C">
        <w:rPr>
          <w:color w:val="000000" w:themeColor="text1"/>
          <w:lang w:val="sr-Latn-RS"/>
        </w:rPr>
        <w:t xml:space="preserve"> </w:t>
      </w:r>
      <w:r w:rsidR="00FF1E3C" w:rsidRPr="00A31DAA">
        <w:rPr>
          <w:color w:val="auto"/>
          <w:lang w:val="sr-Cyrl-RS"/>
        </w:rPr>
        <w:t xml:space="preserve">у даљем тексту: Правилник, </w:t>
      </w:r>
      <w:r w:rsidR="00370BD7" w:rsidRPr="000E4245">
        <w:rPr>
          <w:color w:val="000000" w:themeColor="text1"/>
          <w:lang w:val="sr-Cyrl-RS"/>
        </w:rPr>
        <w:t>уколико је плаћање и</w:t>
      </w:r>
      <w:r>
        <w:rPr>
          <w:color w:val="000000" w:themeColor="text1"/>
          <w:lang w:val="sr-Cyrl-RS"/>
        </w:rPr>
        <w:t>звршено од момента објављивања Ј</w:t>
      </w:r>
      <w:r w:rsidR="00370BD7" w:rsidRPr="000E4245">
        <w:rPr>
          <w:color w:val="000000" w:themeColor="text1"/>
          <w:lang w:val="sr-Cyrl-RS"/>
        </w:rPr>
        <w:t xml:space="preserve">авног конкурса до закључења уговора са </w:t>
      </w:r>
      <w:r w:rsidR="008B5A24" w:rsidRPr="000E4245">
        <w:rPr>
          <w:color w:val="000000" w:themeColor="text1"/>
          <w:lang w:val="sr-Cyrl-RS"/>
        </w:rPr>
        <w:t>Г</w:t>
      </w:r>
      <w:r w:rsidR="00370BD7" w:rsidRPr="000E4245">
        <w:rPr>
          <w:color w:val="000000" w:themeColor="text1"/>
          <w:lang w:val="sr-Cyrl-RS"/>
        </w:rPr>
        <w:t>радом.</w:t>
      </w:r>
      <w:r>
        <w:rPr>
          <w:color w:val="000000" w:themeColor="text1"/>
          <w:lang w:val="sr-Cyrl-RS"/>
        </w:rPr>
        <w:t xml:space="preserve"> </w:t>
      </w:r>
      <w:r w:rsidR="00370BD7" w:rsidRPr="000E4245">
        <w:rPr>
          <w:color w:val="000000" w:themeColor="text1"/>
          <w:lang w:val="sr-Cyrl-RS"/>
        </w:rPr>
        <w:t>Уколико плаћање није извршено до момента потписивања уговора са Градом, пренос средстава корисник</w:t>
      </w:r>
      <w:r w:rsidR="008B5A24" w:rsidRPr="000E4245">
        <w:rPr>
          <w:color w:val="000000" w:themeColor="text1"/>
          <w:lang w:val="sr-Cyrl-RS"/>
        </w:rPr>
        <w:t>у вршиће се у складу са чл</w:t>
      </w:r>
      <w:r w:rsidR="003C1839">
        <w:rPr>
          <w:color w:val="000000" w:themeColor="text1"/>
          <w:lang w:val="sr-Cyrl-RS"/>
        </w:rPr>
        <w:t xml:space="preserve">аном </w:t>
      </w:r>
      <w:r w:rsidR="00370BD7" w:rsidRPr="000E4245">
        <w:rPr>
          <w:color w:val="000000" w:themeColor="text1"/>
          <w:lang w:val="sr-Cyrl-RS"/>
        </w:rPr>
        <w:t>10</w:t>
      </w:r>
      <w:r>
        <w:rPr>
          <w:color w:val="000000" w:themeColor="text1"/>
          <w:lang w:val="sr-Cyrl-RS"/>
        </w:rPr>
        <w:t>.</w:t>
      </w:r>
      <w:r w:rsidR="00370BD7" w:rsidRPr="000E424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Правилника.</w:t>
      </w:r>
    </w:p>
    <w:p w:rsidR="003205A4" w:rsidRDefault="003205A4" w:rsidP="003205A4">
      <w:pPr>
        <w:jc w:val="both"/>
        <w:rPr>
          <w:color w:val="000000" w:themeColor="text1"/>
          <w:lang w:val="sr-Cyrl-RS"/>
        </w:rPr>
      </w:pPr>
    </w:p>
    <w:p w:rsidR="00370BD7" w:rsidRPr="000E4245" w:rsidRDefault="003205A4" w:rsidP="003205A4">
      <w:pPr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(</w:t>
      </w:r>
      <w:r w:rsidRPr="000E4245">
        <w:rPr>
          <w:color w:val="000000" w:themeColor="text1"/>
          <w:lang w:val="sr-Cyrl-RS"/>
        </w:rPr>
        <w:t>Б-</w:t>
      </w:r>
      <w:r w:rsidR="00370BD7" w:rsidRPr="000E4245">
        <w:rPr>
          <w:color w:val="000000" w:themeColor="text1"/>
          <w:lang w:val="sr-Cyrl-RS"/>
        </w:rPr>
        <w:t>Документација која се доставља након потписивања Угов</w:t>
      </w:r>
      <w:r w:rsidR="003C1839">
        <w:rPr>
          <w:color w:val="000000" w:themeColor="text1"/>
          <w:lang w:val="sr-Cyrl-RS"/>
        </w:rPr>
        <w:t xml:space="preserve">ора и завршетка инвестиције) </w:t>
      </w:r>
      <w:r w:rsidR="00DF7E4D" w:rsidRPr="000E4245">
        <w:rPr>
          <w:color w:val="000000" w:themeColor="text1"/>
          <w:lang w:val="sr-Cyrl-RS"/>
        </w:rPr>
        <w:t>и одредбама уго</w:t>
      </w:r>
      <w:r w:rsidR="008B5A24" w:rsidRPr="000E4245">
        <w:rPr>
          <w:color w:val="000000" w:themeColor="text1"/>
          <w:lang w:val="sr-Cyrl-RS"/>
        </w:rPr>
        <w:t>вора</w:t>
      </w:r>
      <w:r w:rsidR="00DF7E4D" w:rsidRPr="000E4245">
        <w:rPr>
          <w:color w:val="000000" w:themeColor="text1"/>
          <w:lang w:val="sr-Cyrl-RS"/>
        </w:rPr>
        <w:t xml:space="preserve"> са Градом</w:t>
      </w:r>
      <w:r w:rsidR="008B5A24" w:rsidRPr="000E4245">
        <w:rPr>
          <w:color w:val="000000" w:themeColor="text1"/>
          <w:lang w:val="sr-Cyrl-RS"/>
        </w:rPr>
        <w:t xml:space="preserve">. </w:t>
      </w:r>
    </w:p>
    <w:p w:rsidR="00F85228" w:rsidRPr="000E4245" w:rsidRDefault="00EE59C7" w:rsidP="003C1839">
      <w:pPr>
        <w:ind w:firstLine="720"/>
        <w:jc w:val="both"/>
        <w:rPr>
          <w:color w:val="000000" w:themeColor="text1"/>
          <w:lang w:val="sr-Cyrl-RS"/>
        </w:rPr>
      </w:pPr>
      <w:r w:rsidRPr="000E4245">
        <w:rPr>
          <w:color w:val="000000" w:themeColor="text1"/>
          <w:lang w:val="sr-Cyrl-RS"/>
        </w:rPr>
        <w:t>Власницима објеката који су доставили рачуне са ценама мањим од максимално утврђених, признаваће се 50% износа који је назначен на фактури.</w:t>
      </w:r>
      <w:r w:rsidR="00F85228" w:rsidRPr="000E4245">
        <w:rPr>
          <w:color w:val="000000" w:themeColor="text1"/>
          <w:lang w:val="sr-Cyrl-RS"/>
        </w:rPr>
        <w:tab/>
        <w:t xml:space="preserve"> </w:t>
      </w:r>
    </w:p>
    <w:p w:rsidR="00AD2728" w:rsidRPr="000E4245" w:rsidRDefault="00EE59C7" w:rsidP="003205A4">
      <w:pPr>
        <w:spacing w:before="100" w:beforeAutospacing="1" w:after="100" w:afterAutospacing="1"/>
        <w:jc w:val="center"/>
        <w:rPr>
          <w:color w:val="000000" w:themeColor="text1"/>
          <w:lang w:val="sr-Cyrl-RS"/>
        </w:rPr>
      </w:pPr>
      <w:r w:rsidRPr="000E4245">
        <w:rPr>
          <w:b/>
          <w:bCs/>
          <w:color w:val="000000" w:themeColor="text1"/>
          <w:lang w:val="sr-Cyrl-RS"/>
        </w:rPr>
        <w:t>I</w:t>
      </w:r>
      <w:r w:rsidRPr="000E4245">
        <w:rPr>
          <w:b/>
          <w:bCs/>
          <w:color w:val="000000" w:themeColor="text1"/>
          <w:lang w:val="sr-Latn-RS"/>
        </w:rPr>
        <w:t>V</w:t>
      </w:r>
      <w:r w:rsidR="003205A4">
        <w:rPr>
          <w:b/>
          <w:bCs/>
          <w:color w:val="000000" w:themeColor="text1"/>
          <w:lang w:val="sr-Cyrl-RS"/>
        </w:rPr>
        <w:t xml:space="preserve">     </w:t>
      </w:r>
      <w:r w:rsidR="00AD2728" w:rsidRPr="000E4245">
        <w:rPr>
          <w:b/>
          <w:bCs/>
          <w:color w:val="000000" w:themeColor="text1"/>
          <w:lang w:val="sr-Cyrl-RS"/>
        </w:rPr>
        <w:t xml:space="preserve"> ПОТРЕБНА ДОКУМЕНТА</w:t>
      </w:r>
    </w:p>
    <w:p w:rsidR="00F85228" w:rsidRPr="000E4245" w:rsidRDefault="00AD2728" w:rsidP="00F85228">
      <w:pPr>
        <w:tabs>
          <w:tab w:val="left" w:pos="426"/>
        </w:tabs>
        <w:jc w:val="both"/>
        <w:rPr>
          <w:b/>
          <w:color w:val="000000" w:themeColor="text1"/>
          <w:lang w:val="sr-Cyrl-RS"/>
        </w:rPr>
      </w:pPr>
      <w:r w:rsidRPr="000E4245">
        <w:rPr>
          <w:b/>
          <w:bCs/>
          <w:color w:val="000000" w:themeColor="text1"/>
          <w:lang w:val="sr-Cyrl-RS"/>
        </w:rPr>
        <w:t> </w:t>
      </w:r>
      <w:r w:rsidR="00F85228" w:rsidRPr="000E4245">
        <w:rPr>
          <w:b/>
          <w:bCs/>
          <w:color w:val="000000" w:themeColor="text1"/>
          <w:lang w:val="sr-Cyrl-RS"/>
        </w:rPr>
        <w:tab/>
      </w:r>
      <w:r w:rsidR="00F85228" w:rsidRPr="000E4245">
        <w:rPr>
          <w:b/>
          <w:color w:val="000000" w:themeColor="text1"/>
          <w:lang w:val="sr-Cyrl-RS"/>
        </w:rPr>
        <w:t>А) Документацијa коју доставља подносилац пријаве при подношењу пријаве:</w:t>
      </w:r>
    </w:p>
    <w:p w:rsidR="00F85228" w:rsidRPr="000E4245" w:rsidRDefault="00F85228" w:rsidP="00F85228">
      <w:pPr>
        <w:tabs>
          <w:tab w:val="left" w:pos="426"/>
        </w:tabs>
        <w:jc w:val="both"/>
        <w:rPr>
          <w:color w:val="000000" w:themeColor="text1"/>
          <w:lang w:val="sr-Cyrl-RS"/>
        </w:rPr>
      </w:pPr>
    </w:p>
    <w:p w:rsidR="009B3294" w:rsidRPr="000E4245" w:rsidRDefault="00F85228" w:rsidP="009B3294">
      <w:pPr>
        <w:tabs>
          <w:tab w:val="left" w:pos="709"/>
          <w:tab w:val="left" w:pos="1134"/>
        </w:tabs>
        <w:jc w:val="both"/>
        <w:rPr>
          <w:b/>
          <w:color w:val="000000" w:themeColor="text1"/>
          <w:lang w:val="sr-Cyrl-RS"/>
        </w:rPr>
      </w:pPr>
      <w:r w:rsidRPr="000E4245">
        <w:rPr>
          <w:b/>
          <w:color w:val="000000" w:themeColor="text1"/>
          <w:lang w:val="sr-Cyrl-RS"/>
        </w:rPr>
        <w:tab/>
        <w:t>Обавезна документација</w:t>
      </w:r>
      <w:r w:rsidR="009B3294" w:rsidRPr="009B3294">
        <w:rPr>
          <w:b/>
          <w:color w:val="000000" w:themeColor="text1"/>
          <w:lang w:val="sr-Cyrl-RS"/>
        </w:rPr>
        <w:t xml:space="preserve"> </w:t>
      </w:r>
      <w:r w:rsidR="009B3294" w:rsidRPr="000E4245">
        <w:rPr>
          <w:b/>
          <w:color w:val="000000" w:themeColor="text1"/>
          <w:lang w:val="sr-Cyrl-RS"/>
        </w:rPr>
        <w:t>за подносиоце пријаве</w:t>
      </w:r>
      <w:r w:rsidR="009B3294">
        <w:rPr>
          <w:b/>
          <w:color w:val="000000" w:themeColor="text1"/>
          <w:lang w:val="sr-Latn-RS"/>
        </w:rPr>
        <w:t xml:space="preserve"> </w:t>
      </w:r>
      <w:r w:rsidR="009B3294">
        <w:rPr>
          <w:b/>
          <w:color w:val="000000" w:themeColor="text1"/>
          <w:lang w:val="sr-Cyrl-RS"/>
        </w:rPr>
        <w:t>за МЕРУ 1</w:t>
      </w:r>
      <w:r w:rsidR="009B3294" w:rsidRPr="000E4245">
        <w:rPr>
          <w:b/>
          <w:color w:val="000000" w:themeColor="text1"/>
          <w:lang w:val="sr-Cyrl-RS"/>
        </w:rPr>
        <w:t>:</w:t>
      </w:r>
    </w:p>
    <w:p w:rsidR="009B3294" w:rsidRPr="000E4245" w:rsidRDefault="009B3294" w:rsidP="009B3294">
      <w:pPr>
        <w:tabs>
          <w:tab w:val="left" w:pos="709"/>
          <w:tab w:val="left" w:pos="1134"/>
        </w:tabs>
        <w:jc w:val="both"/>
        <w:rPr>
          <w:b/>
          <w:color w:val="000000" w:themeColor="text1"/>
          <w:lang w:val="sr-Cyrl-RS"/>
        </w:rPr>
      </w:pPr>
    </w:p>
    <w:p w:rsidR="00F85228" w:rsidRPr="000E4245" w:rsidRDefault="00F85228" w:rsidP="00F85228">
      <w:pPr>
        <w:tabs>
          <w:tab w:val="left" w:pos="709"/>
          <w:tab w:val="left" w:pos="1134"/>
        </w:tabs>
        <w:jc w:val="both"/>
        <w:rPr>
          <w:b/>
          <w:color w:val="000000" w:themeColor="text1"/>
          <w:lang w:val="sr-Cyrl-RS"/>
        </w:rPr>
      </w:pPr>
    </w:p>
    <w:p w:rsidR="003205A4" w:rsidRPr="00E16F6D" w:rsidRDefault="003205A4" w:rsidP="003205A4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lastRenderedPageBreak/>
        <w:t xml:space="preserve">Потписан и попуњен </w:t>
      </w:r>
      <w:r w:rsidRPr="00E16F6D">
        <w:rPr>
          <w:rFonts w:ascii="Times New Roman" w:hAnsi="Times New Roman"/>
          <w:i/>
          <w:sz w:val="24"/>
          <w:szCs w:val="24"/>
          <w:lang w:val="sr-Cyrl-RS"/>
        </w:rPr>
        <w:t>Пријавни образац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за суфинансирање м</w:t>
      </w:r>
      <w:r>
        <w:rPr>
          <w:rFonts w:ascii="Times New Roman" w:hAnsi="Times New Roman"/>
          <w:sz w:val="24"/>
          <w:szCs w:val="24"/>
          <w:lang w:val="sr-Cyrl-RS"/>
        </w:rPr>
        <w:t>ера смањења загађења ваздуха у Г</w:t>
      </w:r>
      <w:r w:rsidRPr="00E16F6D">
        <w:rPr>
          <w:rFonts w:ascii="Times New Roman" w:hAnsi="Times New Roman"/>
          <w:sz w:val="24"/>
          <w:szCs w:val="24"/>
          <w:lang w:val="sr-Cyrl-RS"/>
        </w:rPr>
        <w:t>раду Нишу  пореклом из индивидуалних</w:t>
      </w:r>
      <w:r>
        <w:rPr>
          <w:rFonts w:ascii="Times New Roman" w:hAnsi="Times New Roman"/>
          <w:sz w:val="24"/>
          <w:szCs w:val="24"/>
          <w:lang w:val="sr-Cyrl-RS"/>
        </w:rPr>
        <w:t xml:space="preserve"> извора</w:t>
      </w:r>
      <w:r w:rsidR="001316B2"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E16F6D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16B2">
        <w:rPr>
          <w:rFonts w:ascii="Times New Roman" w:hAnsi="Times New Roman"/>
          <w:sz w:val="24"/>
          <w:szCs w:val="24"/>
          <w:lang w:val="sr-Cyrl-RS"/>
        </w:rPr>
        <w:t>години (Прилог 1)</w:t>
      </w:r>
      <w:r w:rsidRPr="00E16F6D">
        <w:rPr>
          <w:rFonts w:ascii="Times New Roman" w:hAnsi="Times New Roman"/>
          <w:sz w:val="24"/>
          <w:szCs w:val="24"/>
          <w:lang w:val="sr-Cyrl-RS"/>
        </w:rPr>
        <w:tab/>
      </w:r>
    </w:p>
    <w:p w:rsidR="003205A4" w:rsidRPr="00E16F6D" w:rsidRDefault="003205A4" w:rsidP="003205A4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Фотокопију личне карте без чипа оверену код нотара или очитану чиповану личну карту власника објекта. Датум очитавања личне карте са чипом и датум овере фотокопије личне карте без чипа код нотара не см</w:t>
      </w:r>
      <w:r>
        <w:rPr>
          <w:rFonts w:ascii="Times New Roman" w:hAnsi="Times New Roman"/>
          <w:sz w:val="24"/>
          <w:szCs w:val="24"/>
          <w:lang w:val="sr-Cyrl-RS"/>
        </w:rPr>
        <w:t>еју бити старији од шест месеци;</w:t>
      </w:r>
    </w:p>
    <w:p w:rsidR="003205A4" w:rsidRPr="00E16F6D" w:rsidRDefault="003205A4" w:rsidP="003205A4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Доказ о броју чланова домаћинстава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3205A4" w:rsidRPr="00E16F6D" w:rsidRDefault="003205A4" w:rsidP="003205A4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Фотокопија личне карте или очитане чиповане личне карте за све чланове домаћинства који исту поседују у складу са Законом. Датум очитавања личне карте са чипом и датум овере фотокопије личне карте без чипа </w:t>
      </w:r>
      <w:r w:rsidRPr="007F123F">
        <w:rPr>
          <w:rFonts w:ascii="Times New Roman" w:hAnsi="Times New Roman"/>
          <w:sz w:val="24"/>
          <w:szCs w:val="24"/>
          <w:lang w:val="sr-Cyrl-RS"/>
        </w:rPr>
        <w:t xml:space="preserve">код нотара </w:t>
      </w:r>
      <w:r w:rsidRPr="00E16F6D">
        <w:rPr>
          <w:rFonts w:ascii="Times New Roman" w:hAnsi="Times New Roman"/>
          <w:sz w:val="24"/>
          <w:szCs w:val="24"/>
          <w:lang w:val="sr-Cyrl-RS"/>
        </w:rPr>
        <w:t xml:space="preserve">не смеју бити старији од шест месеци. За децу је потребно доставити </w:t>
      </w:r>
      <w:r w:rsidRPr="007F123F">
        <w:rPr>
          <w:rFonts w:ascii="Times New Roman" w:hAnsi="Times New Roman"/>
          <w:sz w:val="24"/>
          <w:szCs w:val="24"/>
          <w:lang w:val="sr-Cyrl-RS"/>
        </w:rPr>
        <w:t>копију пријаве пребивалишта или уверење о пребивалишту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E16F6D">
        <w:rPr>
          <w:rFonts w:ascii="Times New Roman" w:hAnsi="Times New Roman"/>
          <w:sz w:val="24"/>
          <w:szCs w:val="24"/>
          <w:lang w:val="sr-Cyrl-RS"/>
        </w:rPr>
        <w:t>Ниједан од поменутих докумената (пријава или уверење) не сме да буде старији од шест месеци;</w:t>
      </w:r>
    </w:p>
    <w:p w:rsidR="003205A4" w:rsidRPr="00E16F6D" w:rsidRDefault="003205A4" w:rsidP="003205A4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Лична изјава о броју чланова заједничког домаћинства у слободној форми;</w:t>
      </w:r>
    </w:p>
    <w:p w:rsidR="003205A4" w:rsidRPr="001A5EA2" w:rsidRDefault="003205A4" w:rsidP="003205A4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eastAsia="Times New Roman" w:hAnsi="Times New Roman"/>
          <w:sz w:val="24"/>
          <w:szCs w:val="24"/>
          <w:lang w:val="sr-Cyrl-RS" w:eastAsia="sr-Cyrl-RS"/>
        </w:rPr>
        <w:t>Копију Уверења да подносилац захтева има пријављену имовину на територији Града Ниша и да на дан изадавања уверења нема дуговања по основу пореза за имовину</w:t>
      </w:r>
      <w:r w:rsidRPr="001A5EA2">
        <w:rPr>
          <w:rFonts w:ascii="Times New Roman" w:eastAsia="Times New Roman" w:hAnsi="Times New Roman"/>
          <w:sz w:val="24"/>
          <w:szCs w:val="24"/>
          <w:lang w:val="sr-Latn-RS" w:eastAsia="sr-Cyrl-RS"/>
        </w:rPr>
        <w:t>,</w:t>
      </w:r>
      <w:r w:rsidRPr="001A5EA2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 на  уплатним рачунима које администрира Градска управа за финансије-Сектор за локалну пореску администрацију;</w:t>
      </w:r>
    </w:p>
    <w:p w:rsidR="003205A4" w:rsidRPr="00E16F6D" w:rsidRDefault="003205A4" w:rsidP="003205A4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Извод из листа непокретности за објекат издат од стране надлежне или овлашћене институције у складу са Законом, не старији од шест месеци (фотокопија); </w:t>
      </w:r>
    </w:p>
    <w:p w:rsidR="003205A4" w:rsidRPr="00E16F6D" w:rsidRDefault="003205A4" w:rsidP="003205A4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Копију једног од следећих доказа за стамб</w:t>
      </w:r>
      <w:r>
        <w:rPr>
          <w:rFonts w:ascii="Times New Roman" w:hAnsi="Times New Roman"/>
          <w:sz w:val="24"/>
          <w:szCs w:val="24"/>
          <w:lang w:val="sr-Cyrl-RS"/>
        </w:rPr>
        <w:t>ени објекат</w:t>
      </w:r>
      <w:r w:rsidRPr="00E16F6D">
        <w:rPr>
          <w:rFonts w:ascii="Times New Roman" w:hAnsi="Times New Roman"/>
          <w:sz w:val="24"/>
          <w:szCs w:val="24"/>
          <w:lang w:val="sr-Cyrl-RS"/>
        </w:rPr>
        <w:t>:</w:t>
      </w:r>
    </w:p>
    <w:p w:rsidR="003205A4" w:rsidRPr="00E16F6D" w:rsidRDefault="003205A4" w:rsidP="003205A4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доказ о изградњи објекта пре доношења </w:t>
      </w:r>
      <w:r>
        <w:rPr>
          <w:rFonts w:ascii="Times New Roman" w:hAnsi="Times New Roman"/>
          <w:sz w:val="24"/>
          <w:szCs w:val="24"/>
          <w:lang w:val="sr-Cyrl-RS"/>
        </w:rPr>
        <w:t>прописа о изградњи;</w:t>
      </w:r>
    </w:p>
    <w:p w:rsidR="003205A4" w:rsidRPr="00E16F6D" w:rsidRDefault="003205A4" w:rsidP="003205A4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грађевинску или употребну дозволу добијену кроз редо</w:t>
      </w:r>
      <w:r>
        <w:rPr>
          <w:rFonts w:ascii="Times New Roman" w:hAnsi="Times New Roman"/>
          <w:sz w:val="24"/>
          <w:szCs w:val="24"/>
          <w:lang w:val="sr-Cyrl-RS"/>
        </w:rPr>
        <w:t>ван поступак обезбеђења дозволе;</w:t>
      </w:r>
    </w:p>
    <w:p w:rsidR="003205A4" w:rsidRPr="00E16F6D" w:rsidRDefault="003205A4" w:rsidP="003205A4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грађевинску или употребну дозволу добиј</w:t>
      </w:r>
      <w:r>
        <w:rPr>
          <w:rFonts w:ascii="Times New Roman" w:hAnsi="Times New Roman"/>
          <w:sz w:val="24"/>
          <w:szCs w:val="24"/>
          <w:lang w:val="sr-Cyrl-RS"/>
        </w:rPr>
        <w:t>ену из поступка легализације;</w:t>
      </w:r>
    </w:p>
    <w:p w:rsidR="003205A4" w:rsidRPr="00E16F6D" w:rsidRDefault="003205A4" w:rsidP="003205A4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решење о озакоњењу.</w:t>
      </w:r>
    </w:p>
    <w:p w:rsidR="003205A4" w:rsidRPr="00E16F6D" w:rsidRDefault="003205A4" w:rsidP="003205A4">
      <w:pPr>
        <w:pStyle w:val="ListParagraph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Потврда да не постоји могућност прикључења на дистрибутивну мрежу природног гаса (коју издаје предузеће овлашћено за снабдевање и дистрибуцију природног гаса) и потврда да не постоји могућност прикључења на систем даљинског грејања коју издаје ЈКП „Градска Т</w:t>
      </w:r>
      <w:r>
        <w:rPr>
          <w:rFonts w:ascii="Times New Roman" w:hAnsi="Times New Roman"/>
          <w:sz w:val="24"/>
          <w:szCs w:val="24"/>
          <w:lang w:val="sr-Cyrl-RS"/>
        </w:rPr>
        <w:t>оплана“ Ниш (само за меру 1)</w:t>
      </w:r>
      <w:r w:rsidRPr="00E16F6D">
        <w:rPr>
          <w:rFonts w:ascii="Times New Roman" w:hAnsi="Times New Roman"/>
          <w:sz w:val="24"/>
          <w:szCs w:val="24"/>
          <w:lang w:val="sr-Cyrl-RS"/>
        </w:rPr>
        <w:t>;</w:t>
      </w:r>
    </w:p>
    <w:p w:rsidR="003205A4" w:rsidRPr="00E16F6D" w:rsidRDefault="003205A4" w:rsidP="003205A4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Предрачун за набавку опреме насловљен на подносиоца пријаве са јасно наведеним карактеристикама котла које су тражене у чл. 4 овог Правилника, исказан посебно са ПДВ-</w:t>
      </w:r>
      <w:r>
        <w:rPr>
          <w:rFonts w:ascii="Times New Roman" w:hAnsi="Times New Roman"/>
          <w:sz w:val="24"/>
          <w:szCs w:val="24"/>
          <w:lang w:val="sr-Cyrl-RS"/>
        </w:rPr>
        <w:t xml:space="preserve">ом у односу на друге трошкове; </w:t>
      </w:r>
    </w:p>
    <w:p w:rsidR="003205A4" w:rsidRPr="00E16F6D" w:rsidRDefault="003205A4" w:rsidP="003205A4">
      <w:pPr>
        <w:pStyle w:val="ListParagraph"/>
        <w:numPr>
          <w:ilvl w:val="0"/>
          <w:numId w:val="2"/>
        </w:numPr>
        <w:spacing w:after="0" w:line="259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" w:name="_Hlk75026550"/>
      <w:r w:rsidRPr="00E16F6D">
        <w:rPr>
          <w:rFonts w:ascii="Times New Roman" w:hAnsi="Times New Roman"/>
          <w:sz w:val="24"/>
          <w:szCs w:val="24"/>
          <w:lang w:val="sr-Cyrl-RS"/>
        </w:rPr>
        <w:t>Потписана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одлучивања.</w:t>
      </w:r>
      <w:r>
        <w:rPr>
          <w:rStyle w:val="FootnoteReference"/>
          <w:rFonts w:ascii="Times New Roman" w:hAnsi="Times New Roman"/>
          <w:sz w:val="24"/>
          <w:szCs w:val="24"/>
          <w:lang w:val="sr-Cyrl-RS"/>
        </w:rPr>
        <w:footnoteReference w:id="2"/>
      </w:r>
    </w:p>
    <w:bookmarkEnd w:id="1"/>
    <w:p w:rsidR="00254406" w:rsidRDefault="00254406" w:rsidP="00F85228">
      <w:pPr>
        <w:tabs>
          <w:tab w:val="left" w:pos="426"/>
        </w:tabs>
        <w:jc w:val="both"/>
        <w:rPr>
          <w:color w:val="000000" w:themeColor="text1"/>
          <w:lang w:val="sr-Cyrl-RS"/>
        </w:rPr>
      </w:pPr>
    </w:p>
    <w:p w:rsidR="009B3294" w:rsidRPr="009B3294" w:rsidRDefault="009B3294" w:rsidP="009B3294">
      <w:pPr>
        <w:tabs>
          <w:tab w:val="left" w:pos="426"/>
        </w:tabs>
        <w:jc w:val="both"/>
        <w:rPr>
          <w:b/>
          <w:color w:val="000000" w:themeColor="text1"/>
          <w:lang w:val="sr-Cyrl-RS"/>
        </w:rPr>
      </w:pPr>
      <w:r w:rsidRPr="009B3294">
        <w:rPr>
          <w:b/>
          <w:color w:val="000000" w:themeColor="text1"/>
          <w:lang w:val="sr-Cyrl-RS"/>
        </w:rPr>
        <w:t>Обавезна документација за подносиоце пријаве</w:t>
      </w:r>
      <w:r w:rsidRPr="009B3294">
        <w:rPr>
          <w:b/>
          <w:color w:val="000000" w:themeColor="text1"/>
          <w:lang w:val="sr-Latn-RS"/>
        </w:rPr>
        <w:t xml:space="preserve"> </w:t>
      </w:r>
      <w:r w:rsidRPr="009B3294">
        <w:rPr>
          <w:b/>
          <w:color w:val="000000" w:themeColor="text1"/>
          <w:lang w:val="sr-Cyrl-RS"/>
        </w:rPr>
        <w:t>за МЕРУ 2:</w:t>
      </w:r>
    </w:p>
    <w:p w:rsidR="009B3294" w:rsidRPr="009B3294" w:rsidRDefault="009B3294" w:rsidP="009B3294">
      <w:pPr>
        <w:tabs>
          <w:tab w:val="left" w:pos="426"/>
        </w:tabs>
        <w:jc w:val="both"/>
        <w:rPr>
          <w:b/>
          <w:color w:val="000000" w:themeColor="text1"/>
          <w:lang w:val="sr-Cyrl-RS"/>
        </w:rPr>
      </w:pPr>
    </w:p>
    <w:p w:rsidR="009B3294" w:rsidRDefault="009B3294" w:rsidP="009B3294">
      <w:pPr>
        <w:numPr>
          <w:ilvl w:val="0"/>
          <w:numId w:val="27"/>
        </w:numPr>
        <w:tabs>
          <w:tab w:val="left" w:pos="426"/>
        </w:tabs>
        <w:ind w:left="567"/>
        <w:jc w:val="both"/>
        <w:rPr>
          <w:color w:val="000000" w:themeColor="text1"/>
          <w:lang w:val="sr-Cyrl-RS"/>
        </w:rPr>
      </w:pPr>
      <w:r w:rsidRPr="009B3294">
        <w:rPr>
          <w:color w:val="000000" w:themeColor="text1"/>
          <w:lang w:val="sr-Cyrl-RS"/>
        </w:rPr>
        <w:t xml:space="preserve">Потписан и попуњен </w:t>
      </w:r>
      <w:r w:rsidRPr="009B3294">
        <w:rPr>
          <w:i/>
          <w:color w:val="000000" w:themeColor="text1"/>
          <w:lang w:val="sr-Cyrl-RS"/>
        </w:rPr>
        <w:t>Пријавни образац</w:t>
      </w:r>
      <w:r w:rsidRPr="009B3294">
        <w:rPr>
          <w:color w:val="000000" w:themeColor="text1"/>
          <w:lang w:val="sr-Cyrl-RS"/>
        </w:rPr>
        <w:t xml:space="preserve"> за суфинансирање м</w:t>
      </w:r>
      <w:r w:rsidR="0011529C">
        <w:rPr>
          <w:color w:val="000000" w:themeColor="text1"/>
          <w:lang w:val="sr-Cyrl-RS"/>
        </w:rPr>
        <w:t>ера смањења загађења ваздуха у Г</w:t>
      </w:r>
      <w:r w:rsidRPr="009B3294">
        <w:rPr>
          <w:color w:val="000000" w:themeColor="text1"/>
          <w:lang w:val="sr-Cyrl-RS"/>
        </w:rPr>
        <w:t>раду Нишу п</w:t>
      </w:r>
      <w:r w:rsidR="0011529C">
        <w:rPr>
          <w:color w:val="000000" w:themeColor="text1"/>
          <w:lang w:val="sr-Cyrl-RS"/>
        </w:rPr>
        <w:t>ореклом из индивидуалних извора у</w:t>
      </w:r>
      <w:r w:rsidRPr="009B3294">
        <w:rPr>
          <w:color w:val="000000" w:themeColor="text1"/>
          <w:lang w:val="sr-Cyrl-RS"/>
        </w:rPr>
        <w:t xml:space="preserve"> 202</w:t>
      </w:r>
      <w:r w:rsidRPr="009B3294">
        <w:rPr>
          <w:color w:val="000000" w:themeColor="text1"/>
          <w:lang w:val="sr-Latn-RS"/>
        </w:rPr>
        <w:t>3</w:t>
      </w:r>
      <w:r w:rsidRPr="009B3294">
        <w:rPr>
          <w:color w:val="000000" w:themeColor="text1"/>
          <w:lang w:val="sr-Cyrl-RS"/>
        </w:rPr>
        <w:t>.</w:t>
      </w:r>
      <w:r w:rsidR="0011529C">
        <w:rPr>
          <w:color w:val="000000" w:themeColor="text1"/>
          <w:lang w:val="sr-Cyrl-RS"/>
        </w:rPr>
        <w:t xml:space="preserve"> години</w:t>
      </w:r>
      <w:r w:rsidRPr="009B3294">
        <w:rPr>
          <w:color w:val="000000" w:themeColor="text1"/>
          <w:lang w:val="sr-Cyrl-RS"/>
        </w:rPr>
        <w:t xml:space="preserve"> (Прилог 1);</w:t>
      </w:r>
      <w:r w:rsidRPr="009B3294">
        <w:rPr>
          <w:color w:val="000000" w:themeColor="text1"/>
          <w:lang w:val="sr-Cyrl-RS"/>
        </w:rPr>
        <w:tab/>
      </w:r>
    </w:p>
    <w:p w:rsidR="009B3294" w:rsidRPr="009B3294" w:rsidRDefault="009B3294" w:rsidP="009B3294">
      <w:pPr>
        <w:numPr>
          <w:ilvl w:val="0"/>
          <w:numId w:val="27"/>
        </w:numPr>
        <w:tabs>
          <w:tab w:val="left" w:pos="426"/>
        </w:tabs>
        <w:ind w:left="567"/>
        <w:jc w:val="both"/>
        <w:rPr>
          <w:color w:val="000000" w:themeColor="text1"/>
          <w:lang w:val="sr-Cyrl-RS"/>
        </w:rPr>
      </w:pPr>
      <w:r w:rsidRPr="009B3294">
        <w:rPr>
          <w:color w:val="000000" w:themeColor="text1"/>
          <w:lang w:val="sr-Cyrl-RS"/>
        </w:rPr>
        <w:t>Фотокопију личне карте без чипа оверену код нотара или очитану чиповану личну карту власника објекта. Датум очитавања личне карте са чипом и датум овере фотокопије личне карте без чипа код нотара не смеју бити старији од шест месеци.</w:t>
      </w:r>
    </w:p>
    <w:p w:rsidR="009B3294" w:rsidRPr="009B3294" w:rsidRDefault="009B3294" w:rsidP="009B3294">
      <w:pPr>
        <w:numPr>
          <w:ilvl w:val="0"/>
          <w:numId w:val="27"/>
        </w:numPr>
        <w:tabs>
          <w:tab w:val="left" w:pos="426"/>
        </w:tabs>
        <w:ind w:left="284" w:firstLine="0"/>
        <w:jc w:val="both"/>
        <w:rPr>
          <w:color w:val="000000" w:themeColor="text1"/>
          <w:lang w:val="sr-Cyrl-RS"/>
        </w:rPr>
      </w:pPr>
      <w:r w:rsidRPr="009B3294">
        <w:rPr>
          <w:color w:val="000000" w:themeColor="text1"/>
          <w:lang w:val="sr-Cyrl-RS"/>
        </w:rPr>
        <w:t>Доказ о броју чланова домаћинства</w:t>
      </w:r>
    </w:p>
    <w:p w:rsidR="009B3294" w:rsidRPr="009B3294" w:rsidRDefault="009B3294" w:rsidP="009B3294">
      <w:pPr>
        <w:numPr>
          <w:ilvl w:val="1"/>
          <w:numId w:val="27"/>
        </w:numPr>
        <w:tabs>
          <w:tab w:val="left" w:pos="426"/>
        </w:tabs>
        <w:jc w:val="both"/>
        <w:rPr>
          <w:color w:val="000000" w:themeColor="text1"/>
          <w:lang w:val="sr-Cyrl-RS"/>
        </w:rPr>
      </w:pPr>
      <w:r w:rsidRPr="009B3294">
        <w:rPr>
          <w:color w:val="000000" w:themeColor="text1"/>
          <w:lang w:val="sr-Cyrl-RS"/>
        </w:rPr>
        <w:lastRenderedPageBreak/>
        <w:t>Фотокопија личне карте или очитане чиповане личне карте за све чланове домаћинства који исту поседују у складу са Законом. Датум очитавања личне карте са чипом и датум овере фотокопије личне карте без чипа код нотара не смеју бити старији од шест месеци. За децу је потребно доставити копију пријаве пребивалишта или уверење о пребивалишту. Ниједан од поменутих докумената (пријава или уверење) не сме да буде старији од шест месеци;</w:t>
      </w:r>
    </w:p>
    <w:p w:rsidR="009B3294" w:rsidRPr="009B3294" w:rsidRDefault="009B3294" w:rsidP="009B3294">
      <w:pPr>
        <w:numPr>
          <w:ilvl w:val="1"/>
          <w:numId w:val="27"/>
        </w:numPr>
        <w:tabs>
          <w:tab w:val="left" w:pos="426"/>
        </w:tabs>
        <w:jc w:val="both"/>
        <w:rPr>
          <w:color w:val="000000" w:themeColor="text1"/>
          <w:lang w:val="sr-Cyrl-RS"/>
        </w:rPr>
      </w:pPr>
      <w:r w:rsidRPr="009B3294">
        <w:rPr>
          <w:color w:val="000000" w:themeColor="text1"/>
          <w:lang w:val="sr-Cyrl-RS"/>
        </w:rPr>
        <w:t>Лична изјава о броју чланова заједничког домаћинства у слободној форми;</w:t>
      </w:r>
    </w:p>
    <w:p w:rsidR="009B3294" w:rsidRPr="009B3294" w:rsidRDefault="009B3294" w:rsidP="009B3294">
      <w:pPr>
        <w:numPr>
          <w:ilvl w:val="0"/>
          <w:numId w:val="27"/>
        </w:numPr>
        <w:tabs>
          <w:tab w:val="left" w:pos="426"/>
        </w:tabs>
        <w:ind w:left="426" w:hanging="142"/>
        <w:jc w:val="both"/>
        <w:rPr>
          <w:color w:val="000000" w:themeColor="text1"/>
          <w:lang w:val="sr-Cyrl-RS"/>
        </w:rPr>
      </w:pPr>
      <w:r w:rsidRPr="009B3294">
        <w:rPr>
          <w:color w:val="000000" w:themeColor="text1"/>
          <w:lang w:val="sr-Cyrl-RS"/>
        </w:rPr>
        <w:t>Копију Уверења да подносилац захтева има пријављену имовину на територији Града Ниша и да на дан изадавања уверења нема дуговања по основу пореза за имовину на  уплатним рачунима које администрира Градска управа за финансије-Сектор за локалну пореску администрацију;</w:t>
      </w:r>
    </w:p>
    <w:p w:rsidR="009B3294" w:rsidRPr="009B3294" w:rsidRDefault="009B3294" w:rsidP="009B3294">
      <w:pPr>
        <w:numPr>
          <w:ilvl w:val="0"/>
          <w:numId w:val="27"/>
        </w:numPr>
        <w:tabs>
          <w:tab w:val="left" w:pos="426"/>
        </w:tabs>
        <w:ind w:left="426" w:hanging="142"/>
        <w:jc w:val="both"/>
        <w:rPr>
          <w:color w:val="000000" w:themeColor="text1"/>
          <w:lang w:val="sr-Cyrl-RS"/>
        </w:rPr>
      </w:pPr>
      <w:r w:rsidRPr="009B3294">
        <w:rPr>
          <w:color w:val="000000" w:themeColor="text1"/>
          <w:lang w:val="sr-Cyrl-RS"/>
        </w:rPr>
        <w:t xml:space="preserve">Извод из листа непокретности за објекат издат од стране надлежне или овлашћене институције у складу са Законом, не старији од шест месеци (фотокопија); </w:t>
      </w:r>
    </w:p>
    <w:p w:rsidR="009B3294" w:rsidRPr="009B3294" w:rsidRDefault="009B3294" w:rsidP="009B3294">
      <w:pPr>
        <w:numPr>
          <w:ilvl w:val="0"/>
          <w:numId w:val="27"/>
        </w:numPr>
        <w:tabs>
          <w:tab w:val="left" w:pos="426"/>
        </w:tabs>
        <w:ind w:left="426" w:hanging="142"/>
        <w:jc w:val="both"/>
        <w:rPr>
          <w:color w:val="000000" w:themeColor="text1"/>
          <w:lang w:val="sr-Cyrl-RS"/>
        </w:rPr>
      </w:pPr>
      <w:r w:rsidRPr="009B3294">
        <w:rPr>
          <w:color w:val="000000" w:themeColor="text1"/>
          <w:lang w:val="sr-Cyrl-RS"/>
        </w:rPr>
        <w:t>Копију једног од следећих доказа за стамбени објекат:</w:t>
      </w:r>
    </w:p>
    <w:p w:rsidR="009B3294" w:rsidRPr="009B3294" w:rsidRDefault="009B3294" w:rsidP="009B3294">
      <w:pPr>
        <w:numPr>
          <w:ilvl w:val="1"/>
          <w:numId w:val="27"/>
        </w:numPr>
        <w:tabs>
          <w:tab w:val="left" w:pos="426"/>
        </w:tabs>
        <w:jc w:val="both"/>
        <w:rPr>
          <w:color w:val="000000" w:themeColor="text1"/>
          <w:lang w:val="sr-Cyrl-RS"/>
        </w:rPr>
      </w:pPr>
      <w:r w:rsidRPr="009B3294">
        <w:rPr>
          <w:color w:val="000000" w:themeColor="text1"/>
          <w:lang w:val="sr-Cyrl-RS"/>
        </w:rPr>
        <w:t>доказ о изградњи објекта пре доношења прописа о изградњи,</w:t>
      </w:r>
    </w:p>
    <w:p w:rsidR="009B3294" w:rsidRPr="009B3294" w:rsidRDefault="009B3294" w:rsidP="009B3294">
      <w:pPr>
        <w:numPr>
          <w:ilvl w:val="1"/>
          <w:numId w:val="27"/>
        </w:numPr>
        <w:tabs>
          <w:tab w:val="left" w:pos="426"/>
        </w:tabs>
        <w:jc w:val="both"/>
        <w:rPr>
          <w:color w:val="000000" w:themeColor="text1"/>
          <w:lang w:val="sr-Cyrl-RS"/>
        </w:rPr>
      </w:pPr>
      <w:r w:rsidRPr="009B3294">
        <w:rPr>
          <w:color w:val="000000" w:themeColor="text1"/>
          <w:lang w:val="sr-Cyrl-RS"/>
        </w:rPr>
        <w:t>грађевинску или употребну дозволу добијену кроз редован поступак обезбеђења дозволе,</w:t>
      </w:r>
    </w:p>
    <w:p w:rsidR="009B3294" w:rsidRPr="009B3294" w:rsidRDefault="009B3294" w:rsidP="009B3294">
      <w:pPr>
        <w:numPr>
          <w:ilvl w:val="1"/>
          <w:numId w:val="27"/>
        </w:numPr>
        <w:tabs>
          <w:tab w:val="left" w:pos="426"/>
        </w:tabs>
        <w:jc w:val="both"/>
        <w:rPr>
          <w:color w:val="000000" w:themeColor="text1"/>
          <w:lang w:val="sr-Cyrl-RS"/>
        </w:rPr>
      </w:pPr>
      <w:r w:rsidRPr="009B3294">
        <w:rPr>
          <w:color w:val="000000" w:themeColor="text1"/>
          <w:lang w:val="sr-Cyrl-RS"/>
        </w:rPr>
        <w:t>грађевинску или употребну дозволу добијену из поступка легализације или</w:t>
      </w:r>
    </w:p>
    <w:p w:rsidR="009B3294" w:rsidRPr="009B3294" w:rsidRDefault="009B3294" w:rsidP="009B3294">
      <w:pPr>
        <w:numPr>
          <w:ilvl w:val="1"/>
          <w:numId w:val="27"/>
        </w:numPr>
        <w:tabs>
          <w:tab w:val="left" w:pos="426"/>
        </w:tabs>
        <w:jc w:val="both"/>
        <w:rPr>
          <w:color w:val="000000" w:themeColor="text1"/>
          <w:lang w:val="sr-Cyrl-RS"/>
        </w:rPr>
      </w:pPr>
      <w:r w:rsidRPr="009B3294">
        <w:rPr>
          <w:color w:val="000000" w:themeColor="text1"/>
          <w:lang w:val="sr-Cyrl-RS"/>
        </w:rPr>
        <w:t>решење о озакоњењу.</w:t>
      </w:r>
    </w:p>
    <w:p w:rsidR="009B3294" w:rsidRPr="009B3294" w:rsidRDefault="009B3294" w:rsidP="009B3294">
      <w:pPr>
        <w:numPr>
          <w:ilvl w:val="0"/>
          <w:numId w:val="27"/>
        </w:numPr>
        <w:tabs>
          <w:tab w:val="left" w:pos="426"/>
        </w:tabs>
        <w:ind w:left="426" w:hanging="142"/>
        <w:jc w:val="both"/>
        <w:rPr>
          <w:color w:val="000000" w:themeColor="text1"/>
          <w:lang w:val="sr-Cyrl-RS"/>
        </w:rPr>
      </w:pPr>
      <w:r w:rsidRPr="009B3294">
        <w:rPr>
          <w:color w:val="000000" w:themeColor="text1"/>
          <w:lang w:val="sr-Cyrl-RS"/>
        </w:rPr>
        <w:t xml:space="preserve">Потписана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одлучивања. </w:t>
      </w:r>
      <w:r w:rsidRPr="009B3294">
        <w:rPr>
          <w:color w:val="000000" w:themeColor="text1"/>
          <w:vertAlign w:val="superscript"/>
          <w:lang w:val="sr-Cyrl-RS"/>
        </w:rPr>
        <w:footnoteReference w:id="3"/>
      </w:r>
    </w:p>
    <w:p w:rsidR="009B3294" w:rsidRPr="009B3294" w:rsidRDefault="009B3294" w:rsidP="00055F90">
      <w:pPr>
        <w:numPr>
          <w:ilvl w:val="0"/>
          <w:numId w:val="27"/>
        </w:numPr>
        <w:tabs>
          <w:tab w:val="left" w:pos="426"/>
        </w:tabs>
        <w:ind w:left="426" w:hanging="142"/>
        <w:jc w:val="both"/>
        <w:rPr>
          <w:color w:val="000000" w:themeColor="text1"/>
          <w:lang w:val="sr-Cyrl-RS"/>
        </w:rPr>
      </w:pPr>
      <w:r w:rsidRPr="009B3294">
        <w:rPr>
          <w:color w:val="000000" w:themeColor="text1"/>
          <w:lang w:val="sr-Cyrl-RS"/>
        </w:rPr>
        <w:t>Потврду о поднетом захтеву за прикључење на дистрибутивну гасоводну мрежу у којој је недвосмислено наведено да постоје техничке могућности за приључење, а коју издаје предузеће овлашћено за снабдевање и дистрибуцију природног гаса или Решење о прикључењу на дистрибутивну гасоводну мрежу издато од стране предузећа овлашћеног за снабдевање и дистрибуцију природног гаса;</w:t>
      </w:r>
    </w:p>
    <w:p w:rsidR="00055F90" w:rsidRDefault="009B3294" w:rsidP="00F85228">
      <w:pPr>
        <w:numPr>
          <w:ilvl w:val="0"/>
          <w:numId w:val="27"/>
        </w:numPr>
        <w:tabs>
          <w:tab w:val="left" w:pos="426"/>
        </w:tabs>
        <w:ind w:left="426" w:hanging="142"/>
        <w:jc w:val="both"/>
        <w:rPr>
          <w:color w:val="000000" w:themeColor="text1"/>
          <w:lang w:val="sr-Cyrl-RS"/>
        </w:rPr>
      </w:pPr>
      <w:r w:rsidRPr="009B3294">
        <w:rPr>
          <w:color w:val="000000" w:themeColor="text1"/>
          <w:lang w:val="sr-Cyrl-RS"/>
        </w:rPr>
        <w:t>Предрачун за набавку опреме насловљен на подносиоца пријаве са јасно наведеним карактеристикама котла које су тражене у чл. 4</w:t>
      </w:r>
      <w:r w:rsidR="0011529C">
        <w:rPr>
          <w:color w:val="000000" w:themeColor="text1"/>
          <w:lang w:val="sr-Cyrl-RS"/>
        </w:rPr>
        <w:t>.</w:t>
      </w:r>
      <w:r w:rsidRPr="009B3294">
        <w:rPr>
          <w:color w:val="000000" w:themeColor="text1"/>
          <w:lang w:val="sr-Cyrl-RS"/>
        </w:rPr>
        <w:t xml:space="preserve"> Правилника о спровођењу мера смањења загађења ваздуха у граду Нишу пореклом из индивидуалних </w:t>
      </w:r>
      <w:r w:rsidR="0011529C">
        <w:rPr>
          <w:color w:val="000000" w:themeColor="text1"/>
          <w:lang w:val="sr-Cyrl-RS"/>
        </w:rPr>
        <w:t xml:space="preserve">извора </w:t>
      </w:r>
      <w:r w:rsidRPr="009B3294">
        <w:rPr>
          <w:color w:val="000000" w:themeColor="text1"/>
          <w:lang w:val="sr-Cyrl-RS"/>
        </w:rPr>
        <w:t xml:space="preserve">у 2023. години, исказан посебно са ПДВ-ом у односу на друге трошкове; </w:t>
      </w:r>
    </w:p>
    <w:p w:rsidR="009B3294" w:rsidRDefault="009B3294" w:rsidP="00F85228">
      <w:pPr>
        <w:numPr>
          <w:ilvl w:val="0"/>
          <w:numId w:val="27"/>
        </w:numPr>
        <w:tabs>
          <w:tab w:val="left" w:pos="426"/>
        </w:tabs>
        <w:ind w:left="426" w:hanging="142"/>
        <w:jc w:val="both"/>
        <w:rPr>
          <w:color w:val="000000" w:themeColor="text1"/>
          <w:lang w:val="sr-Cyrl-RS"/>
        </w:rPr>
      </w:pPr>
      <w:r w:rsidRPr="00055F90">
        <w:rPr>
          <w:color w:val="000000" w:themeColor="text1"/>
          <w:lang w:val="sr-Cyrl-RS"/>
        </w:rPr>
        <w:t>Потписана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одлучивања.</w:t>
      </w:r>
    </w:p>
    <w:p w:rsidR="00055F90" w:rsidRDefault="00055F90" w:rsidP="00055F90">
      <w:pPr>
        <w:tabs>
          <w:tab w:val="left" w:pos="426"/>
        </w:tabs>
        <w:ind w:left="426"/>
        <w:jc w:val="both"/>
        <w:rPr>
          <w:color w:val="000000" w:themeColor="text1"/>
          <w:lang w:val="sr-Cyrl-RS"/>
        </w:rPr>
      </w:pPr>
    </w:p>
    <w:p w:rsidR="00055F90" w:rsidRPr="00055F90" w:rsidRDefault="00055F90" w:rsidP="00055F90">
      <w:pPr>
        <w:tabs>
          <w:tab w:val="left" w:pos="426"/>
        </w:tabs>
        <w:ind w:left="426"/>
        <w:jc w:val="both"/>
        <w:rPr>
          <w:b/>
          <w:color w:val="000000" w:themeColor="text1"/>
          <w:lang w:val="sr-Cyrl-RS"/>
        </w:rPr>
      </w:pPr>
      <w:r w:rsidRPr="00055F90">
        <w:rPr>
          <w:b/>
          <w:color w:val="000000" w:themeColor="text1"/>
          <w:lang w:val="sr-Cyrl-RS"/>
        </w:rPr>
        <w:t xml:space="preserve">Опционо достављање документације за додатно бодовање за </w:t>
      </w:r>
      <w:r>
        <w:rPr>
          <w:b/>
          <w:color w:val="000000" w:themeColor="text1"/>
          <w:lang w:val="sr-Cyrl-RS"/>
        </w:rPr>
        <w:t>обе</w:t>
      </w:r>
      <w:r w:rsidRPr="00055F90">
        <w:rPr>
          <w:b/>
          <w:color w:val="000000" w:themeColor="text1"/>
          <w:lang w:val="sr-Cyrl-RS"/>
        </w:rPr>
        <w:t xml:space="preserve"> мере:</w:t>
      </w:r>
    </w:p>
    <w:p w:rsidR="00055F90" w:rsidRPr="00055F90" w:rsidRDefault="00055F90" w:rsidP="00055F90">
      <w:pPr>
        <w:tabs>
          <w:tab w:val="left" w:pos="426"/>
        </w:tabs>
        <w:ind w:left="426"/>
        <w:jc w:val="both"/>
        <w:rPr>
          <w:color w:val="000000" w:themeColor="text1"/>
          <w:lang w:val="sr-Cyrl-RS"/>
        </w:rPr>
      </w:pPr>
      <w:r w:rsidRPr="00055F90">
        <w:rPr>
          <w:color w:val="000000" w:themeColor="text1"/>
          <w:lang w:val="sr-Cyrl-RS"/>
        </w:rPr>
        <w:t>1.</w:t>
      </w:r>
      <w:r w:rsidRPr="00055F90">
        <w:rPr>
          <w:color w:val="000000" w:themeColor="text1"/>
          <w:lang w:val="sr-Cyrl-RS"/>
        </w:rPr>
        <w:tab/>
        <w:t>Изјава подносица пријаве да ће стари уређај бити предат на рециклажу;</w:t>
      </w:r>
    </w:p>
    <w:p w:rsidR="009B3294" w:rsidRPr="000E4245" w:rsidRDefault="009B3294" w:rsidP="00F85228">
      <w:pPr>
        <w:tabs>
          <w:tab w:val="left" w:pos="426"/>
        </w:tabs>
        <w:jc w:val="both"/>
        <w:rPr>
          <w:color w:val="000000" w:themeColor="text1"/>
          <w:lang w:val="sr-Cyrl-RS"/>
        </w:rPr>
      </w:pPr>
    </w:p>
    <w:p w:rsidR="00254406" w:rsidRDefault="00254406" w:rsidP="00254406">
      <w:pPr>
        <w:tabs>
          <w:tab w:val="left" w:pos="709"/>
          <w:tab w:val="left" w:pos="1134"/>
        </w:tabs>
        <w:jc w:val="both"/>
        <w:rPr>
          <w:b/>
          <w:color w:val="000000" w:themeColor="text1"/>
          <w:lang w:val="sr-Cyrl-RS"/>
        </w:rPr>
      </w:pPr>
      <w:r w:rsidRPr="000E4245">
        <w:rPr>
          <w:b/>
          <w:color w:val="000000" w:themeColor="text1"/>
          <w:lang w:val="sr-Cyrl-RS"/>
        </w:rPr>
        <w:t>Б) Документација која се доставља након потписивања Уговора и завршетка инвестиције:</w:t>
      </w:r>
    </w:p>
    <w:p w:rsidR="007E6604" w:rsidRPr="000E4245" w:rsidRDefault="007E6604" w:rsidP="00254406">
      <w:pPr>
        <w:tabs>
          <w:tab w:val="left" w:pos="709"/>
          <w:tab w:val="left" w:pos="1134"/>
        </w:tabs>
        <w:jc w:val="both"/>
        <w:rPr>
          <w:b/>
          <w:color w:val="000000" w:themeColor="text1"/>
          <w:lang w:val="sr-Cyrl-RS"/>
        </w:rPr>
      </w:pPr>
    </w:p>
    <w:p w:rsidR="007E6604" w:rsidRPr="00E16F6D" w:rsidRDefault="007E6604" w:rsidP="007E6604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Потписан и попуњен образац Захтев за повраћај средстава;</w:t>
      </w:r>
    </w:p>
    <w:p w:rsidR="007E6604" w:rsidRPr="00E16F6D" w:rsidRDefault="007E6604" w:rsidP="007E6604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Изјава корисника средстава о намени коришћених средстава;  </w:t>
      </w:r>
    </w:p>
    <w:p w:rsidR="007E6604" w:rsidRPr="00E16F6D" w:rsidRDefault="007E6604" w:rsidP="007E6604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Фискалне и готовинске рачуне за уграђени котао или накнаду за прикључење на систем даљинског грејања-фотокопија;</w:t>
      </w:r>
    </w:p>
    <w:p w:rsidR="007E6604" w:rsidRPr="00E16F6D" w:rsidRDefault="007E6604" w:rsidP="007E6604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 xml:space="preserve">Попуњен и оверен гарантни лист за уграђени котао 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Pr="00E16F6D">
        <w:rPr>
          <w:rFonts w:ascii="Times New Roman" w:hAnsi="Times New Roman"/>
          <w:sz w:val="24"/>
          <w:szCs w:val="24"/>
          <w:lang w:val="sr-Cyrl-RS"/>
        </w:rPr>
        <w:t>фотокопија;</w:t>
      </w:r>
    </w:p>
    <w:p w:rsidR="007E6604" w:rsidRPr="00E16F6D" w:rsidRDefault="007E6604" w:rsidP="007E6604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t>Уговор о прикључењу на дистрибутивну мрежу природног гаса</w:t>
      </w:r>
      <w:r w:rsidRPr="00E16F6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16F6D">
        <w:rPr>
          <w:rFonts w:ascii="Times New Roman" w:hAnsi="Times New Roman"/>
          <w:sz w:val="24"/>
          <w:szCs w:val="24"/>
          <w:lang w:val="sr-Cyrl-RS"/>
        </w:rPr>
        <w:t>и Уговор о снабдевању (за меру 2)-фотокопија;</w:t>
      </w:r>
    </w:p>
    <w:p w:rsidR="007E6604" w:rsidRPr="00055F90" w:rsidRDefault="007E6604" w:rsidP="007E6604">
      <w:pPr>
        <w:pStyle w:val="ListParagraph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6F6D">
        <w:rPr>
          <w:rFonts w:ascii="Times New Roman" w:hAnsi="Times New Roman"/>
          <w:sz w:val="24"/>
          <w:szCs w:val="24"/>
          <w:lang w:val="sr-Cyrl-RS"/>
        </w:rPr>
        <w:lastRenderedPageBreak/>
        <w:t>Потврда о рециклажи постојећег уређаја, коју издаје предузеће овлашћено за рециклажу отпада (у случају предавања на рециклажу)-оригинал.</w:t>
      </w:r>
    </w:p>
    <w:p w:rsidR="00EE59C7" w:rsidRPr="000E4245" w:rsidRDefault="00AD2728" w:rsidP="007E6604">
      <w:pPr>
        <w:spacing w:before="100" w:beforeAutospacing="1" w:after="100" w:afterAutospacing="1"/>
        <w:jc w:val="center"/>
        <w:rPr>
          <w:b/>
          <w:bCs/>
          <w:color w:val="000000" w:themeColor="text1"/>
          <w:lang w:val="sr-Cyrl-RS"/>
        </w:rPr>
      </w:pPr>
      <w:r w:rsidRPr="000E4245">
        <w:rPr>
          <w:b/>
          <w:bCs/>
          <w:color w:val="000000" w:themeColor="text1"/>
          <w:lang w:val="sr-Cyrl-RS"/>
        </w:rPr>
        <w:t xml:space="preserve">IV </w:t>
      </w:r>
      <w:r w:rsidR="007E6604">
        <w:rPr>
          <w:b/>
          <w:bCs/>
          <w:color w:val="000000" w:themeColor="text1"/>
          <w:lang w:val="sr-Cyrl-RS"/>
        </w:rPr>
        <w:t xml:space="preserve">  </w:t>
      </w:r>
      <w:r w:rsidR="00EE59C7" w:rsidRPr="000E4245">
        <w:rPr>
          <w:b/>
          <w:bCs/>
          <w:color w:val="000000" w:themeColor="text1"/>
          <w:lang w:val="sr-Cyrl-RS"/>
        </w:rPr>
        <w:t>РОК ЗА ПОДНОШЕЊЕ ПРИЈАВА</w:t>
      </w:r>
    </w:p>
    <w:p w:rsidR="00F444BC" w:rsidRPr="0091430E" w:rsidRDefault="00F444BC" w:rsidP="0091430E">
      <w:pPr>
        <w:spacing w:before="100" w:beforeAutospacing="1" w:after="100" w:afterAutospacing="1"/>
        <w:ind w:firstLine="720"/>
        <w:jc w:val="both"/>
        <w:rPr>
          <w:color w:val="auto"/>
          <w:lang w:val="sr-Cyrl-RS"/>
        </w:rPr>
      </w:pPr>
      <w:r w:rsidRPr="0091430E">
        <w:rPr>
          <w:color w:val="auto"/>
          <w:lang w:val="sr-Cyrl-RS"/>
        </w:rPr>
        <w:t xml:space="preserve">Пријаве ће се примати 30 календарских дана </w:t>
      </w:r>
      <w:r w:rsidR="00A31DAA" w:rsidRPr="0091430E">
        <w:rPr>
          <w:color w:val="auto"/>
          <w:lang w:val="sr-Cyrl-RS"/>
        </w:rPr>
        <w:t>почевши од првог дана након објављивања</w:t>
      </w:r>
      <w:r w:rsidR="008667E4" w:rsidRPr="0091430E">
        <w:rPr>
          <w:color w:val="auto"/>
          <w:lang w:val="sr-Latn-RS"/>
        </w:rPr>
        <w:t xml:space="preserve"> </w:t>
      </w:r>
      <w:r w:rsidR="007E6604">
        <w:rPr>
          <w:color w:val="auto"/>
          <w:lang w:val="sr-Cyrl-RS"/>
        </w:rPr>
        <w:t>Јавног конкурса</w:t>
      </w:r>
      <w:r w:rsidRPr="0091430E">
        <w:rPr>
          <w:color w:val="auto"/>
          <w:lang w:val="sr-Cyrl-RS"/>
        </w:rPr>
        <w:t xml:space="preserve"> на званичној интернет стр</w:t>
      </w:r>
      <w:r w:rsidRPr="0091430E">
        <w:rPr>
          <w:color w:val="auto"/>
          <w:lang w:val="sr-Latn-RS"/>
        </w:rPr>
        <w:t>a</w:t>
      </w:r>
      <w:r w:rsidRPr="0091430E">
        <w:rPr>
          <w:color w:val="auto"/>
          <w:lang w:val="sr-Cyrl-RS"/>
        </w:rPr>
        <w:t>ници Града Ниша</w:t>
      </w:r>
      <w:r w:rsidR="001316B2">
        <w:rPr>
          <w:color w:val="auto"/>
          <w:lang w:val="sr-Cyrl-RS"/>
        </w:rPr>
        <w:t xml:space="preserve"> </w:t>
      </w:r>
      <w:r w:rsidR="00FF1E3C" w:rsidRPr="0091430E">
        <w:rPr>
          <w:color w:val="auto"/>
          <w:lang w:val="sr-Cyrl-RS"/>
        </w:rPr>
        <w:t xml:space="preserve"> (линк: </w:t>
      </w:r>
      <w:hyperlink r:id="rId9" w:history="1">
        <w:r w:rsidR="00FF1E3C" w:rsidRPr="0091430E">
          <w:rPr>
            <w:rStyle w:val="Hyperlink"/>
            <w:color w:val="auto"/>
            <w:lang w:val="sr-Cyrl-RS"/>
          </w:rPr>
          <w:t>www.ni.rs</w:t>
        </w:r>
      </w:hyperlink>
      <w:r w:rsidR="00FF1E3C" w:rsidRPr="0091430E">
        <w:rPr>
          <w:color w:val="auto"/>
          <w:lang w:val="sr-Cyrl-RS"/>
        </w:rPr>
        <w:t xml:space="preserve">), Канцеларије за локални економски развој, (линк: </w:t>
      </w:r>
      <w:hyperlink r:id="rId10" w:history="1">
        <w:r w:rsidR="00FF1E3C" w:rsidRPr="0091430E">
          <w:rPr>
            <w:rStyle w:val="Hyperlink"/>
            <w:color w:val="auto"/>
            <w:lang w:val="sr-Cyrl-RS"/>
          </w:rPr>
          <w:t>www.investnis.rs</w:t>
        </w:r>
      </w:hyperlink>
      <w:r w:rsidR="00FF1E3C" w:rsidRPr="0091430E">
        <w:rPr>
          <w:rStyle w:val="Hyperlink"/>
          <w:color w:val="auto"/>
          <w:lang w:val="sr-Cyrl-RS"/>
        </w:rPr>
        <w:t>)</w:t>
      </w:r>
      <w:r w:rsidR="00FF1E3C" w:rsidRPr="0091430E">
        <w:rPr>
          <w:color w:val="auto"/>
          <w:lang w:val="sr-Cyrl-RS"/>
        </w:rPr>
        <w:t xml:space="preserve"> и огласној табли </w:t>
      </w:r>
      <w:r w:rsidR="007E6604">
        <w:rPr>
          <w:color w:val="auto"/>
          <w:lang w:val="sr-Cyrl-RS"/>
        </w:rPr>
        <w:t>органа и служби Града Ниша, у ул.Николе Пашића 24</w:t>
      </w:r>
      <w:r w:rsidR="008667E4" w:rsidRPr="0091430E">
        <w:rPr>
          <w:color w:val="auto"/>
          <w:lang w:val="sr-Cyrl-RS"/>
        </w:rPr>
        <w:t>.</w:t>
      </w:r>
      <w:r w:rsidR="00FF1E3C" w:rsidRPr="0091430E">
        <w:rPr>
          <w:color w:val="auto"/>
          <w:lang w:val="sr-Cyrl-RS"/>
        </w:rPr>
        <w:t xml:space="preserve"> </w:t>
      </w:r>
      <w:r w:rsidRPr="0091430E">
        <w:rPr>
          <w:color w:val="auto"/>
          <w:lang w:val="sr-Cyrl-RS"/>
        </w:rPr>
        <w:t xml:space="preserve"> </w:t>
      </w:r>
    </w:p>
    <w:p w:rsidR="00EE59C7" w:rsidRPr="000E4245" w:rsidRDefault="00AD2728" w:rsidP="007E6604">
      <w:pPr>
        <w:spacing w:before="100" w:beforeAutospacing="1" w:after="100" w:afterAutospacing="1"/>
        <w:jc w:val="center"/>
        <w:rPr>
          <w:b/>
          <w:bCs/>
          <w:color w:val="000000" w:themeColor="text1"/>
          <w:lang w:val="sr-Cyrl-RS"/>
        </w:rPr>
      </w:pPr>
      <w:r w:rsidRPr="000E4245">
        <w:rPr>
          <w:b/>
          <w:bCs/>
          <w:color w:val="000000" w:themeColor="text1"/>
          <w:lang w:val="sr-Cyrl-RS"/>
        </w:rPr>
        <w:t>V</w:t>
      </w:r>
      <w:r w:rsidR="007E6604">
        <w:rPr>
          <w:b/>
          <w:bCs/>
          <w:color w:val="000000" w:themeColor="text1"/>
          <w:lang w:val="sr-Cyrl-RS"/>
        </w:rPr>
        <w:t xml:space="preserve">    </w:t>
      </w:r>
      <w:r w:rsidRPr="000E4245">
        <w:rPr>
          <w:color w:val="000000" w:themeColor="text1"/>
          <w:lang w:val="sr-Cyrl-RS"/>
        </w:rPr>
        <w:t xml:space="preserve"> </w:t>
      </w:r>
      <w:r w:rsidR="005F1D72" w:rsidRPr="000E4245">
        <w:rPr>
          <w:b/>
          <w:color w:val="000000" w:themeColor="text1"/>
          <w:lang w:val="sr-Cyrl-RS"/>
        </w:rPr>
        <w:t>БЛАГОВРЕМЕНА И</w:t>
      </w:r>
      <w:r w:rsidR="005F1D72" w:rsidRPr="000E4245">
        <w:rPr>
          <w:color w:val="000000" w:themeColor="text1"/>
          <w:lang w:val="sr-Cyrl-RS"/>
        </w:rPr>
        <w:t xml:space="preserve"> </w:t>
      </w:r>
      <w:r w:rsidR="00EE59C7" w:rsidRPr="000E4245">
        <w:rPr>
          <w:b/>
          <w:bCs/>
          <w:color w:val="000000" w:themeColor="text1"/>
          <w:lang w:val="sr-Cyrl-RS"/>
        </w:rPr>
        <w:t>НЕБЛАГОВРЕМЕНА ПРИЈАВА</w:t>
      </w:r>
    </w:p>
    <w:p w:rsidR="007E6604" w:rsidRDefault="00D733DB" w:rsidP="007E6604">
      <w:pPr>
        <w:spacing w:before="100" w:beforeAutospacing="1" w:after="100" w:afterAutospacing="1"/>
        <w:ind w:firstLine="720"/>
        <w:jc w:val="both"/>
        <w:rPr>
          <w:b/>
          <w:bCs/>
          <w:color w:val="000000" w:themeColor="text1"/>
          <w:lang w:val="sr-Cyrl-RS"/>
        </w:rPr>
      </w:pPr>
      <w:r w:rsidRPr="007E6604">
        <w:rPr>
          <w:bCs/>
          <w:color w:val="000000" w:themeColor="text1"/>
          <w:lang w:val="sr-Cyrl-RS"/>
        </w:rPr>
        <w:t xml:space="preserve">Благовременом </w:t>
      </w:r>
      <w:r w:rsidR="005F1D72" w:rsidRPr="007E6604">
        <w:rPr>
          <w:bCs/>
          <w:color w:val="000000" w:themeColor="text1"/>
          <w:lang w:val="sr-Cyrl-RS"/>
        </w:rPr>
        <w:t>пријавом</w:t>
      </w:r>
      <w:r w:rsidRPr="000E4245">
        <w:rPr>
          <w:bCs/>
          <w:color w:val="000000" w:themeColor="text1"/>
          <w:lang w:val="sr-Cyrl-RS"/>
        </w:rPr>
        <w:t xml:space="preserve"> сматра се препоручена пошиљка предата пошти најкасније до истека последњег дана утврђеног рока за предају конкурсне документације </w:t>
      </w:r>
      <w:r w:rsidRPr="000E4245">
        <w:rPr>
          <w:b/>
          <w:bCs/>
          <w:color w:val="000000" w:themeColor="text1"/>
          <w:lang w:val="sr-Cyrl-RS"/>
        </w:rPr>
        <w:t>(печат поште),</w:t>
      </w:r>
      <w:r w:rsidRPr="000E4245">
        <w:rPr>
          <w:bCs/>
          <w:color w:val="000000" w:themeColor="text1"/>
          <w:lang w:val="sr-Cyrl-RS"/>
        </w:rPr>
        <w:t xml:space="preserve"> без обзира на датум приспећа. Уколико се пријава предаје лично на писарници, благовременом ће бити сматрана она пријава која је предата последњег дана утврђеног рока за предају конкурсне документације </w:t>
      </w:r>
      <w:r w:rsidRPr="000E4245">
        <w:rPr>
          <w:b/>
          <w:bCs/>
          <w:color w:val="000000" w:themeColor="text1"/>
          <w:lang w:val="sr-Cyrl-RS"/>
        </w:rPr>
        <w:t>(датум на пријемном штамбиљу).</w:t>
      </w:r>
      <w:r w:rsidRPr="000E4245">
        <w:rPr>
          <w:bCs/>
          <w:color w:val="000000" w:themeColor="text1"/>
          <w:lang w:val="sr-Cyrl-RS"/>
        </w:rPr>
        <w:t xml:space="preserve"> </w:t>
      </w:r>
    </w:p>
    <w:p w:rsidR="005F1D72" w:rsidRPr="007E6604" w:rsidRDefault="00AD2728" w:rsidP="007E6604">
      <w:pPr>
        <w:spacing w:before="100" w:beforeAutospacing="1" w:after="100" w:afterAutospacing="1"/>
        <w:ind w:firstLine="720"/>
        <w:jc w:val="both"/>
        <w:rPr>
          <w:b/>
          <w:bCs/>
          <w:color w:val="000000" w:themeColor="text1"/>
          <w:lang w:val="sr-Cyrl-RS"/>
        </w:rPr>
      </w:pPr>
      <w:r w:rsidRPr="007E6604">
        <w:rPr>
          <w:bCs/>
          <w:color w:val="000000" w:themeColor="text1"/>
          <w:lang w:val="sr-Cyrl-RS"/>
        </w:rPr>
        <w:t>Неблаговремена пријава је</w:t>
      </w:r>
      <w:r w:rsidRPr="000E4245">
        <w:rPr>
          <w:color w:val="000000" w:themeColor="text1"/>
          <w:lang w:val="sr-Cyrl-RS"/>
        </w:rPr>
        <w:t>: пријава поднета по и</w:t>
      </w:r>
      <w:r w:rsidR="00EE59C7" w:rsidRPr="000E4245">
        <w:rPr>
          <w:color w:val="000000" w:themeColor="text1"/>
          <w:lang w:val="sr-Cyrl-RS"/>
        </w:rPr>
        <w:t xml:space="preserve">стеку рока за подношење пријаве, тј. она препоручена пошиљка предата пошти након истека последњег дана утврђеног рока за предају конкурсне документације </w:t>
      </w:r>
      <w:r w:rsidR="00EE59C7" w:rsidRPr="000E4245">
        <w:rPr>
          <w:b/>
          <w:color w:val="000000" w:themeColor="text1"/>
          <w:lang w:val="sr-Cyrl-RS"/>
        </w:rPr>
        <w:t>(печат поште),</w:t>
      </w:r>
      <w:r w:rsidR="00EE59C7" w:rsidRPr="000E4245">
        <w:rPr>
          <w:color w:val="000000" w:themeColor="text1"/>
          <w:lang w:val="sr-Cyrl-RS"/>
        </w:rPr>
        <w:t xml:space="preserve"> без обзира на датум приспећа или предата лично на писарници након истека последњег дана утврђеног рока за предају конкурсне документације</w:t>
      </w:r>
      <w:r w:rsidR="005F1D72" w:rsidRPr="000E4245">
        <w:rPr>
          <w:color w:val="000000" w:themeColor="text1"/>
          <w:lang w:val="sr-Cyrl-RS"/>
        </w:rPr>
        <w:t xml:space="preserve"> </w:t>
      </w:r>
      <w:r w:rsidR="005F1D72" w:rsidRPr="000E4245">
        <w:rPr>
          <w:b/>
          <w:bCs/>
          <w:color w:val="000000" w:themeColor="text1"/>
          <w:lang w:val="sr-Cyrl-RS"/>
        </w:rPr>
        <w:t>(датум на пријемном штамбиљу).</w:t>
      </w:r>
    </w:p>
    <w:p w:rsidR="005F1D72" w:rsidRPr="000E4245" w:rsidRDefault="00EE59C7" w:rsidP="007E6604">
      <w:pPr>
        <w:ind w:firstLine="720"/>
        <w:jc w:val="both"/>
        <w:rPr>
          <w:color w:val="000000" w:themeColor="text1"/>
          <w:lang w:val="sr-Cyrl-RS"/>
        </w:rPr>
      </w:pPr>
      <w:r w:rsidRPr="000E4245">
        <w:rPr>
          <w:color w:val="000000" w:themeColor="text1"/>
          <w:lang w:val="sr-Cyrl-RS"/>
        </w:rPr>
        <w:t xml:space="preserve">Пријаве послате на било који други начин неће бити узете у разматрање. </w:t>
      </w:r>
    </w:p>
    <w:p w:rsidR="00AD2728" w:rsidRDefault="00EE59C7" w:rsidP="007E6604">
      <w:pPr>
        <w:ind w:firstLine="720"/>
        <w:jc w:val="both"/>
        <w:rPr>
          <w:color w:val="000000" w:themeColor="text1"/>
          <w:lang w:val="sr-Cyrl-RS"/>
        </w:rPr>
      </w:pPr>
      <w:r w:rsidRPr="000E4245">
        <w:rPr>
          <w:color w:val="000000" w:themeColor="text1"/>
          <w:lang w:val="sr-Cyrl-RS"/>
        </w:rPr>
        <w:t>Неблаговремене пријаве се неће разматрати.</w:t>
      </w:r>
    </w:p>
    <w:p w:rsidR="007E6604" w:rsidRPr="000E4245" w:rsidRDefault="007E6604" w:rsidP="007E6604">
      <w:pPr>
        <w:ind w:firstLine="720"/>
        <w:jc w:val="center"/>
        <w:rPr>
          <w:color w:val="000000" w:themeColor="text1"/>
          <w:lang w:val="sr-Cyrl-RS"/>
        </w:rPr>
      </w:pPr>
    </w:p>
    <w:p w:rsidR="00081A9E" w:rsidRPr="000E4245" w:rsidRDefault="00EE59C7" w:rsidP="007E6604">
      <w:pPr>
        <w:tabs>
          <w:tab w:val="left" w:pos="426"/>
          <w:tab w:val="left" w:pos="1134"/>
        </w:tabs>
        <w:jc w:val="center"/>
        <w:rPr>
          <w:b/>
          <w:color w:val="000000" w:themeColor="text1"/>
          <w:lang w:val="sr-Cyrl-RS"/>
        </w:rPr>
      </w:pPr>
      <w:r w:rsidRPr="000E4245">
        <w:rPr>
          <w:b/>
          <w:color w:val="000000" w:themeColor="text1"/>
          <w:lang w:val="sr-Latn-RS"/>
        </w:rPr>
        <w:t xml:space="preserve">VI </w:t>
      </w:r>
      <w:r w:rsidR="007E6604">
        <w:rPr>
          <w:b/>
          <w:color w:val="000000" w:themeColor="text1"/>
          <w:lang w:val="sr-Cyrl-RS"/>
        </w:rPr>
        <w:t xml:space="preserve">         </w:t>
      </w:r>
      <w:r w:rsidR="00081A9E" w:rsidRPr="000E4245">
        <w:rPr>
          <w:b/>
          <w:color w:val="000000" w:themeColor="text1"/>
          <w:lang w:val="sr-Cyrl-RS"/>
        </w:rPr>
        <w:t>ПРЕУЗИМАЊЕ ДОКУМЕНТАЦИЈЕ</w:t>
      </w:r>
    </w:p>
    <w:p w:rsidR="005F1D72" w:rsidRPr="000E4245" w:rsidRDefault="005F1D72" w:rsidP="00E755B1">
      <w:pPr>
        <w:spacing w:line="276" w:lineRule="auto"/>
        <w:ind w:right="-7"/>
        <w:jc w:val="both"/>
        <w:rPr>
          <w:color w:val="000000" w:themeColor="text1"/>
          <w:lang w:val="ru-RU"/>
        </w:rPr>
      </w:pPr>
    </w:p>
    <w:p w:rsidR="00081A9E" w:rsidRPr="000E4245" w:rsidRDefault="00081A9E" w:rsidP="00064656">
      <w:pPr>
        <w:spacing w:line="276" w:lineRule="auto"/>
        <w:ind w:right="-7" w:firstLine="360"/>
        <w:jc w:val="both"/>
        <w:rPr>
          <w:color w:val="000000" w:themeColor="text1"/>
          <w:lang w:val="ru-RU"/>
        </w:rPr>
      </w:pPr>
      <w:r w:rsidRPr="000E4245">
        <w:rPr>
          <w:color w:val="000000" w:themeColor="text1"/>
          <w:lang w:val="ru-RU"/>
        </w:rPr>
        <w:t xml:space="preserve">Конкурсна документација може се преузети на интернет страници Града Ниша  </w:t>
      </w:r>
      <w:hyperlink r:id="rId11" w:history="1">
        <w:r w:rsidRPr="000E4245">
          <w:rPr>
            <w:rStyle w:val="Hyperlink"/>
            <w:color w:val="000000" w:themeColor="text1"/>
            <w:lang w:val="sr-Cyrl-RS"/>
          </w:rPr>
          <w:t>www.ni.rs</w:t>
        </w:r>
      </w:hyperlink>
      <w:r w:rsidR="007E6604">
        <w:rPr>
          <w:color w:val="000000" w:themeColor="text1"/>
          <w:lang w:val="sr-Cyrl-RS"/>
        </w:rPr>
        <w:t xml:space="preserve">, </w:t>
      </w:r>
      <w:r w:rsidRPr="000E4245">
        <w:rPr>
          <w:color w:val="000000" w:themeColor="text1"/>
          <w:lang w:val="sr-Cyrl-RS"/>
        </w:rPr>
        <w:t xml:space="preserve">Канцеларије за локални економски развој, линк: </w:t>
      </w:r>
      <w:hyperlink r:id="rId12" w:history="1">
        <w:r w:rsidRPr="000E4245">
          <w:rPr>
            <w:rStyle w:val="Hyperlink"/>
            <w:color w:val="000000" w:themeColor="text1"/>
            <w:lang w:val="sr-Cyrl-RS"/>
          </w:rPr>
          <w:t>www.investnis.rs</w:t>
        </w:r>
      </w:hyperlink>
      <w:r w:rsidRPr="000E4245">
        <w:rPr>
          <w:color w:val="000000" w:themeColor="text1"/>
          <w:lang w:val="sr-Cyrl-RS"/>
        </w:rPr>
        <w:t xml:space="preserve"> </w:t>
      </w:r>
      <w:r w:rsidRPr="000E4245">
        <w:rPr>
          <w:color w:val="000000" w:themeColor="text1"/>
          <w:lang w:val="sr-Cyrl-CS"/>
        </w:rPr>
        <w:t xml:space="preserve">или на </w:t>
      </w:r>
      <w:r w:rsidRPr="000E4245">
        <w:rPr>
          <w:color w:val="000000" w:themeColor="text1"/>
          <w:lang w:val="sr-Cyrl-RS"/>
        </w:rPr>
        <w:t xml:space="preserve">шалтерима </w:t>
      </w:r>
      <w:r w:rsidR="007E6604">
        <w:rPr>
          <w:color w:val="000000" w:themeColor="text1"/>
          <w:lang w:val="sr-Cyrl-RS"/>
        </w:rPr>
        <w:t>Јединственог упрвног места</w:t>
      </w:r>
      <w:r w:rsidRPr="000E4245">
        <w:rPr>
          <w:color w:val="000000" w:themeColor="text1"/>
          <w:lang w:val="sr-Cyrl-RS"/>
        </w:rPr>
        <w:t xml:space="preserve">, </w:t>
      </w:r>
      <w:r w:rsidR="007E6604">
        <w:rPr>
          <w:color w:val="000000" w:themeColor="text1"/>
          <w:lang w:val="sr-Cyrl-RS"/>
        </w:rPr>
        <w:t xml:space="preserve">у ул. Николе Пашића 24, Ниш </w:t>
      </w:r>
      <w:r w:rsidRPr="000E4245">
        <w:rPr>
          <w:color w:val="000000" w:themeColor="text1"/>
          <w:lang w:val="ru-RU"/>
        </w:rPr>
        <w:t>и садржи:</w:t>
      </w:r>
    </w:p>
    <w:p w:rsidR="00081A9E" w:rsidRPr="000E4245" w:rsidRDefault="000E5280" w:rsidP="00E755B1">
      <w:pPr>
        <w:pStyle w:val="ListParagraph"/>
        <w:numPr>
          <w:ilvl w:val="0"/>
          <w:numId w:val="19"/>
        </w:numPr>
        <w:spacing w:after="0"/>
        <w:ind w:right="-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E4245">
        <w:rPr>
          <w:rFonts w:ascii="Times New Roman" w:hAnsi="Times New Roman"/>
          <w:color w:val="000000" w:themeColor="text1"/>
          <w:sz w:val="24"/>
          <w:szCs w:val="24"/>
          <w:lang w:val="sr-Latn-RS"/>
        </w:rPr>
        <w:t>T</w:t>
      </w:r>
      <w:r w:rsidR="005F1D72" w:rsidRPr="000E4245">
        <w:rPr>
          <w:rFonts w:ascii="Times New Roman" w:hAnsi="Times New Roman"/>
          <w:color w:val="000000" w:themeColor="text1"/>
          <w:sz w:val="24"/>
          <w:szCs w:val="24"/>
          <w:lang w:val="ru-RU"/>
        </w:rPr>
        <w:t>екст Јавног Конкурса</w:t>
      </w:r>
      <w:r w:rsidR="00D44969" w:rsidRPr="000E4245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:rsidR="00D44969" w:rsidRPr="000E4245" w:rsidRDefault="00081A9E" w:rsidP="00E755B1">
      <w:pPr>
        <w:pStyle w:val="ListParagraph"/>
        <w:numPr>
          <w:ilvl w:val="0"/>
          <w:numId w:val="19"/>
        </w:numPr>
        <w:spacing w:after="0"/>
        <w:ind w:right="-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E660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Прилог 1</w:t>
      </w:r>
      <w:r w:rsidR="007E6604" w:rsidRPr="007E660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-</w:t>
      </w:r>
      <w:r w:rsidR="00AA091C"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Пријавни образац;</w:t>
      </w:r>
    </w:p>
    <w:p w:rsidR="00AA091C" w:rsidRPr="000E4245" w:rsidRDefault="00D44969" w:rsidP="00E755B1">
      <w:pPr>
        <w:pStyle w:val="ListParagraph"/>
        <w:numPr>
          <w:ilvl w:val="0"/>
          <w:numId w:val="19"/>
        </w:numPr>
        <w:spacing w:after="0"/>
        <w:ind w:right="-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E660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 xml:space="preserve">Прилог </w:t>
      </w:r>
      <w:r w:rsidRPr="007E660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Latn-RS"/>
        </w:rPr>
        <w:t>2</w:t>
      </w:r>
      <w:r w:rsidR="007E6604" w:rsidRPr="007E660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-</w:t>
      </w:r>
      <w:r w:rsidR="00C07F6B"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</w:t>
      </w:r>
      <w:r w:rsidR="00AA091C"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AA091C" w:rsidRPr="000E4245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:rsidR="00081A9E" w:rsidRPr="001316B2" w:rsidRDefault="00AA091C" w:rsidP="001316B2">
      <w:pPr>
        <w:pStyle w:val="ListParagraph"/>
        <w:numPr>
          <w:ilvl w:val="0"/>
          <w:numId w:val="19"/>
        </w:numPr>
        <w:spacing w:after="0"/>
        <w:ind w:right="-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E660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 xml:space="preserve">Прилог </w:t>
      </w:r>
      <w:r w:rsidRPr="007E660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Latn-RS"/>
        </w:rPr>
        <w:t>3</w:t>
      </w:r>
      <w:r w:rsidR="007E6604" w:rsidRPr="007E660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-</w:t>
      </w:r>
      <w:r w:rsidR="00D44969" w:rsidRPr="000E424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Правилник о спровођењу м</w:t>
      </w:r>
      <w:r w:rsidR="001316B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ера смањења загађења ваздуха у Г</w:t>
      </w:r>
      <w:r w:rsidR="00D44969" w:rsidRPr="000E424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раду Нишу пореклом из индивидуалних </w:t>
      </w:r>
      <w:r w:rsidR="001316B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извора</w:t>
      </w:r>
      <w:r w:rsidR="00D44969" w:rsidRPr="000E424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у 202</w:t>
      </w:r>
      <w:r w:rsidR="00C82AC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3</w:t>
      </w:r>
      <w:r w:rsidR="00D44969" w:rsidRPr="000E424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. години</w:t>
      </w:r>
      <w:r w:rsidR="00081A9E" w:rsidRPr="000E424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081A9E" w:rsidRPr="000E4245" w:rsidRDefault="00081A9E" w:rsidP="00EE59C7">
      <w:pPr>
        <w:tabs>
          <w:tab w:val="left" w:pos="426"/>
          <w:tab w:val="left" w:pos="1134"/>
        </w:tabs>
        <w:jc w:val="both"/>
        <w:rPr>
          <w:b/>
          <w:color w:val="000000" w:themeColor="text1"/>
          <w:lang w:val="sr-Cyrl-RS"/>
        </w:rPr>
      </w:pPr>
    </w:p>
    <w:p w:rsidR="00EE59C7" w:rsidRPr="000E4245" w:rsidRDefault="00D44969" w:rsidP="001316B2">
      <w:pPr>
        <w:tabs>
          <w:tab w:val="left" w:pos="426"/>
          <w:tab w:val="left" w:pos="1134"/>
        </w:tabs>
        <w:jc w:val="center"/>
        <w:rPr>
          <w:b/>
          <w:color w:val="000000" w:themeColor="text1"/>
          <w:lang w:val="sr-Latn-RS"/>
        </w:rPr>
      </w:pPr>
      <w:r w:rsidRPr="000E4245">
        <w:rPr>
          <w:b/>
          <w:color w:val="000000" w:themeColor="text1"/>
          <w:lang w:val="sr-Latn-RS"/>
        </w:rPr>
        <w:t xml:space="preserve">VII </w:t>
      </w:r>
      <w:r w:rsidR="001316B2">
        <w:rPr>
          <w:b/>
          <w:color w:val="000000" w:themeColor="text1"/>
          <w:lang w:val="sr-Cyrl-RS"/>
        </w:rPr>
        <w:t xml:space="preserve">     </w:t>
      </w:r>
      <w:r w:rsidR="00081A9E" w:rsidRPr="000E4245">
        <w:rPr>
          <w:b/>
          <w:color w:val="000000" w:themeColor="text1"/>
          <w:lang w:val="sr-Cyrl-RS"/>
        </w:rPr>
        <w:t xml:space="preserve">МЕСТО И </w:t>
      </w:r>
      <w:r w:rsidR="00EE59C7" w:rsidRPr="000E4245">
        <w:rPr>
          <w:b/>
          <w:color w:val="000000" w:themeColor="text1"/>
          <w:lang w:val="sr-Cyrl-RS"/>
        </w:rPr>
        <w:t>НАЧИН ДОСТАВЉАЊА ПРИЈАВЕ</w:t>
      </w:r>
    </w:p>
    <w:p w:rsidR="005F1D72" w:rsidRPr="001316B2" w:rsidRDefault="005F1D72" w:rsidP="005F1D72">
      <w:pPr>
        <w:tabs>
          <w:tab w:val="left" w:pos="426"/>
          <w:tab w:val="left" w:pos="1134"/>
        </w:tabs>
        <w:jc w:val="both"/>
        <w:rPr>
          <w:color w:val="000000" w:themeColor="text1"/>
          <w:lang w:val="sr-Cyrl-RS"/>
        </w:rPr>
      </w:pPr>
    </w:p>
    <w:p w:rsidR="005F1D72" w:rsidRPr="001316B2" w:rsidRDefault="001316B2" w:rsidP="005F1D72">
      <w:pPr>
        <w:tabs>
          <w:tab w:val="left" w:pos="426"/>
          <w:tab w:val="left" w:pos="1134"/>
        </w:tabs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</w:t>
      </w:r>
      <w:r w:rsidR="006C7332" w:rsidRPr="001316B2">
        <w:rPr>
          <w:color w:val="000000" w:themeColor="text1"/>
          <w:lang w:val="sr-Cyrl-RS"/>
        </w:rPr>
        <w:t>Пријава се доставља</w:t>
      </w:r>
      <w:r w:rsidR="005F1D72" w:rsidRPr="001316B2">
        <w:rPr>
          <w:color w:val="000000" w:themeColor="text1"/>
          <w:lang w:val="sr-Cyrl-RS"/>
        </w:rPr>
        <w:t xml:space="preserve"> лично на </w:t>
      </w:r>
      <w:r w:rsidRPr="001316B2">
        <w:rPr>
          <w:color w:val="000000" w:themeColor="text1"/>
          <w:lang w:val="sr-Cyrl-RS"/>
        </w:rPr>
        <w:t>шалтерима</w:t>
      </w:r>
      <w:r w:rsidR="005F1D72" w:rsidRPr="001316B2">
        <w:rPr>
          <w:color w:val="000000" w:themeColor="text1"/>
          <w:lang w:val="sr-Cyrl-RS"/>
        </w:rPr>
        <w:t xml:space="preserve"> </w:t>
      </w:r>
      <w:r w:rsidRPr="001316B2">
        <w:rPr>
          <w:color w:val="000000" w:themeColor="text1"/>
          <w:lang w:val="sr-Cyrl-RS"/>
        </w:rPr>
        <w:t>Јединственог управног места</w:t>
      </w:r>
      <w:r w:rsidR="005F1D72" w:rsidRPr="001316B2">
        <w:rPr>
          <w:color w:val="000000" w:themeColor="text1"/>
          <w:lang w:val="sr-Cyrl-RS"/>
        </w:rPr>
        <w:t xml:space="preserve">, </w:t>
      </w:r>
      <w:r w:rsidRPr="001316B2">
        <w:rPr>
          <w:color w:val="000000" w:themeColor="text1"/>
          <w:lang w:val="sr-Cyrl-RS"/>
        </w:rPr>
        <w:t xml:space="preserve">у ул. </w:t>
      </w:r>
      <w:r w:rsidR="005F1D72" w:rsidRPr="001316B2">
        <w:rPr>
          <w:color w:val="000000" w:themeColor="text1"/>
          <w:lang w:val="sr-Cyrl-RS"/>
        </w:rPr>
        <w:t>Николе Пашића 24, Ниш,  или препоручено поштом на адресу:</w:t>
      </w:r>
    </w:p>
    <w:p w:rsidR="005F1D72" w:rsidRPr="000E4245" w:rsidRDefault="005F1D72" w:rsidP="005F1D72">
      <w:pPr>
        <w:tabs>
          <w:tab w:val="left" w:pos="426"/>
          <w:tab w:val="left" w:pos="1134"/>
        </w:tabs>
        <w:jc w:val="center"/>
        <w:rPr>
          <w:b/>
          <w:color w:val="000000" w:themeColor="text1"/>
          <w:lang w:val="sr-Cyrl-RS"/>
        </w:rPr>
      </w:pPr>
    </w:p>
    <w:p w:rsidR="005F1D72" w:rsidRPr="000E4245" w:rsidRDefault="005F1D72" w:rsidP="005F1D72">
      <w:pPr>
        <w:tabs>
          <w:tab w:val="left" w:pos="426"/>
          <w:tab w:val="left" w:pos="1134"/>
        </w:tabs>
        <w:jc w:val="center"/>
        <w:rPr>
          <w:b/>
          <w:color w:val="000000" w:themeColor="text1"/>
          <w:lang w:val="sr-Cyrl-RS"/>
        </w:rPr>
      </w:pPr>
      <w:r w:rsidRPr="000E4245">
        <w:rPr>
          <w:b/>
          <w:color w:val="000000" w:themeColor="text1"/>
          <w:lang w:val="sr-Cyrl-RS"/>
        </w:rPr>
        <w:t>Град Ниш</w:t>
      </w:r>
    </w:p>
    <w:p w:rsidR="005F1D72" w:rsidRPr="000E4245" w:rsidRDefault="005F1D72" w:rsidP="005F1D72">
      <w:pPr>
        <w:tabs>
          <w:tab w:val="left" w:pos="426"/>
          <w:tab w:val="left" w:pos="1134"/>
        </w:tabs>
        <w:jc w:val="center"/>
        <w:rPr>
          <w:b/>
          <w:color w:val="000000" w:themeColor="text1"/>
          <w:lang w:val="sr-Cyrl-RS"/>
        </w:rPr>
      </w:pPr>
      <w:r w:rsidRPr="000E4245">
        <w:rPr>
          <w:b/>
          <w:color w:val="000000" w:themeColor="text1"/>
          <w:lang w:val="sr-Cyrl-RS"/>
        </w:rPr>
        <w:t>Градска Управа за органе града и грађанска стања</w:t>
      </w:r>
    </w:p>
    <w:p w:rsidR="005F1D72" w:rsidRPr="000E4245" w:rsidRDefault="005F1D72" w:rsidP="005F1D72">
      <w:pPr>
        <w:tabs>
          <w:tab w:val="left" w:pos="426"/>
          <w:tab w:val="left" w:pos="1134"/>
        </w:tabs>
        <w:jc w:val="center"/>
        <w:rPr>
          <w:b/>
          <w:color w:val="000000" w:themeColor="text1"/>
          <w:lang w:val="sr-Cyrl-RS"/>
        </w:rPr>
      </w:pPr>
      <w:r w:rsidRPr="000E4245">
        <w:rPr>
          <w:b/>
          <w:color w:val="000000" w:themeColor="text1"/>
          <w:lang w:val="sr-Cyrl-RS"/>
        </w:rPr>
        <w:t>Николе Пашића 24, Ниш</w:t>
      </w:r>
    </w:p>
    <w:p w:rsidR="005F1D72" w:rsidRPr="000E4245" w:rsidRDefault="001316B2" w:rsidP="005F1D72">
      <w:pPr>
        <w:tabs>
          <w:tab w:val="left" w:pos="426"/>
          <w:tab w:val="left" w:pos="1134"/>
        </w:tabs>
        <w:jc w:val="center"/>
        <w:rPr>
          <w:b/>
          <w:color w:val="000000" w:themeColor="text1"/>
          <w:lang w:val="sr-Cyrl-RS"/>
        </w:rPr>
      </w:pPr>
      <w:r>
        <w:rPr>
          <w:b/>
          <w:color w:val="000000" w:themeColor="text1"/>
          <w:lang w:val="sr-Cyrl-RS"/>
        </w:rPr>
        <w:t>-з</w:t>
      </w:r>
      <w:r w:rsidR="005F1D72" w:rsidRPr="000E4245">
        <w:rPr>
          <w:b/>
          <w:color w:val="000000" w:themeColor="text1"/>
          <w:lang w:val="sr-Cyrl-RS"/>
        </w:rPr>
        <w:t xml:space="preserve">а Комисију за преглед и оцену поднетих захтева за суфинансирање пројеката смањења загађења ваздуха у граду Нишу пореклом из индивидуалних </w:t>
      </w:r>
      <w:r>
        <w:rPr>
          <w:b/>
          <w:color w:val="000000" w:themeColor="text1"/>
          <w:lang w:val="sr-Cyrl-RS"/>
        </w:rPr>
        <w:t>извора у</w:t>
      </w:r>
      <w:r w:rsidR="005F1D72" w:rsidRPr="000E4245">
        <w:rPr>
          <w:b/>
          <w:color w:val="000000" w:themeColor="text1"/>
          <w:lang w:val="sr-Cyrl-RS"/>
        </w:rPr>
        <w:t xml:space="preserve"> 202</w:t>
      </w:r>
      <w:r w:rsidR="00C82AC8">
        <w:rPr>
          <w:b/>
          <w:color w:val="000000" w:themeColor="text1"/>
          <w:lang w:val="sr-Cyrl-RS"/>
        </w:rPr>
        <w:t>3</w:t>
      </w:r>
      <w:r>
        <w:rPr>
          <w:b/>
          <w:color w:val="000000" w:themeColor="text1"/>
          <w:lang w:val="sr-Cyrl-RS"/>
        </w:rPr>
        <w:t>. години</w:t>
      </w:r>
    </w:p>
    <w:p w:rsidR="005F1D72" w:rsidRPr="000E4245" w:rsidRDefault="005F1D72" w:rsidP="005F1D72">
      <w:pPr>
        <w:tabs>
          <w:tab w:val="left" w:pos="426"/>
          <w:tab w:val="left" w:pos="1134"/>
        </w:tabs>
        <w:jc w:val="center"/>
        <w:rPr>
          <w:b/>
          <w:color w:val="000000" w:themeColor="text1"/>
          <w:lang w:val="sr-Cyrl-RS"/>
        </w:rPr>
      </w:pPr>
    </w:p>
    <w:p w:rsidR="006C7332" w:rsidRPr="000E4245" w:rsidRDefault="001316B2" w:rsidP="006C7332">
      <w:pPr>
        <w:tabs>
          <w:tab w:val="left" w:pos="426"/>
          <w:tab w:val="left" w:pos="1134"/>
        </w:tabs>
        <w:jc w:val="both"/>
        <w:rPr>
          <w:b/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</w:t>
      </w:r>
      <w:r w:rsidR="006C7332" w:rsidRPr="000E4245">
        <w:rPr>
          <w:color w:val="000000" w:themeColor="text1"/>
          <w:lang w:val="sr-Cyrl-RS"/>
        </w:rPr>
        <w:t>Пријава се доставља искључиво у затвореној коверти.</w:t>
      </w:r>
      <w:r w:rsidR="006C7332" w:rsidRPr="000E4245">
        <w:rPr>
          <w:b/>
          <w:color w:val="000000" w:themeColor="text1"/>
          <w:lang w:val="sr-Cyrl-RS"/>
        </w:rPr>
        <w:t xml:space="preserve"> </w:t>
      </w:r>
    </w:p>
    <w:p w:rsidR="006C7332" w:rsidRPr="000E4245" w:rsidRDefault="006C7332" w:rsidP="006C7332">
      <w:pPr>
        <w:tabs>
          <w:tab w:val="left" w:pos="426"/>
          <w:tab w:val="left" w:pos="1134"/>
        </w:tabs>
        <w:jc w:val="both"/>
        <w:rPr>
          <w:b/>
          <w:color w:val="000000" w:themeColor="text1"/>
          <w:lang w:val="sr-Cyrl-RS"/>
        </w:rPr>
      </w:pPr>
    </w:p>
    <w:p w:rsidR="001316B2" w:rsidRPr="001316B2" w:rsidRDefault="006C7332" w:rsidP="006C7332">
      <w:pPr>
        <w:tabs>
          <w:tab w:val="left" w:pos="426"/>
          <w:tab w:val="left" w:pos="1134"/>
        </w:tabs>
        <w:jc w:val="both"/>
        <w:rPr>
          <w:color w:val="000000" w:themeColor="text1"/>
          <w:lang w:val="sr-Cyrl-RS"/>
        </w:rPr>
      </w:pPr>
      <w:r w:rsidRPr="001316B2">
        <w:rPr>
          <w:color w:val="000000" w:themeColor="text1"/>
          <w:lang w:val="sr-Cyrl-RS"/>
        </w:rPr>
        <w:t xml:space="preserve">На коверти написати следећу назнаку: </w:t>
      </w:r>
    </w:p>
    <w:p w:rsidR="006C7332" w:rsidRPr="001316B2" w:rsidRDefault="006C7332" w:rsidP="006C7332">
      <w:pPr>
        <w:tabs>
          <w:tab w:val="left" w:pos="426"/>
          <w:tab w:val="left" w:pos="1134"/>
        </w:tabs>
        <w:jc w:val="both"/>
        <w:rPr>
          <w:color w:val="000000" w:themeColor="text1"/>
          <w:lang w:val="sr-Cyrl-RS"/>
        </w:rPr>
      </w:pPr>
      <w:r w:rsidRPr="000E4245">
        <w:rPr>
          <w:b/>
          <w:color w:val="000000" w:themeColor="text1"/>
          <w:lang w:val="sr-Cyrl-RS"/>
        </w:rPr>
        <w:t>СПРОВОЂЕЊЕ МЕРА СМАЊЕЊА ЗАГАЂЕЊА ВАЗДУХА У ГРАДУ НИШУ ПОРЕ</w:t>
      </w:r>
      <w:r w:rsidR="001316B2">
        <w:rPr>
          <w:b/>
          <w:color w:val="000000" w:themeColor="text1"/>
          <w:lang w:val="sr-Cyrl-RS"/>
        </w:rPr>
        <w:t>КЛОМ ИЗ ИНДИВИДУАЛНИХ ИЗВОРА У</w:t>
      </w:r>
      <w:r w:rsidRPr="000E4245">
        <w:rPr>
          <w:b/>
          <w:color w:val="000000" w:themeColor="text1"/>
          <w:lang w:val="sr-Cyrl-RS"/>
        </w:rPr>
        <w:t xml:space="preserve"> 202</w:t>
      </w:r>
      <w:r w:rsidR="00C82AC8">
        <w:rPr>
          <w:b/>
          <w:color w:val="000000" w:themeColor="text1"/>
          <w:lang w:val="sr-Cyrl-RS"/>
        </w:rPr>
        <w:t>3</w:t>
      </w:r>
      <w:r w:rsidRPr="000E4245">
        <w:rPr>
          <w:b/>
          <w:color w:val="000000" w:themeColor="text1"/>
          <w:lang w:val="sr-Cyrl-RS"/>
        </w:rPr>
        <w:t>.</w:t>
      </w:r>
      <w:r w:rsidR="001316B2">
        <w:rPr>
          <w:b/>
          <w:color w:val="000000" w:themeColor="text1"/>
          <w:lang w:val="sr-Cyrl-RS"/>
        </w:rPr>
        <w:t xml:space="preserve"> ГОДИНИ</w:t>
      </w:r>
      <w:r w:rsidRPr="000E4245">
        <w:rPr>
          <w:b/>
          <w:color w:val="000000" w:themeColor="text1"/>
          <w:lang w:val="sr-Cyrl-RS"/>
        </w:rPr>
        <w:t xml:space="preserve"> – НЕ ОТВАРАТИ, </w:t>
      </w:r>
      <w:r w:rsidRPr="001316B2">
        <w:rPr>
          <w:color w:val="000000" w:themeColor="text1"/>
          <w:lang w:val="sr-Cyrl-RS"/>
        </w:rPr>
        <w:t xml:space="preserve">а на полеђини коверте пуну адресу пошиљаоца. </w:t>
      </w:r>
    </w:p>
    <w:p w:rsidR="00557669" w:rsidRPr="001316B2" w:rsidRDefault="00064656" w:rsidP="001316B2">
      <w:pPr>
        <w:tabs>
          <w:tab w:val="left" w:pos="426"/>
          <w:tab w:val="left" w:pos="1134"/>
        </w:tabs>
        <w:jc w:val="both"/>
        <w:rPr>
          <w:color w:val="000000" w:themeColor="text1"/>
          <w:lang w:val="sr-Cyrl-RS"/>
        </w:rPr>
      </w:pPr>
      <w:r w:rsidRPr="000E4245">
        <w:rPr>
          <w:color w:val="000000" w:themeColor="text1"/>
          <w:lang w:val="sr-Cyrl-RS"/>
        </w:rPr>
        <w:tab/>
      </w:r>
    </w:p>
    <w:p w:rsidR="00EE59C7" w:rsidRPr="00132ADA" w:rsidRDefault="00EE59C7" w:rsidP="001316B2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 w:rsidRPr="00132ADA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VI</w:t>
      </w:r>
      <w:r w:rsidR="00D44969" w:rsidRPr="00132ADA">
        <w:rPr>
          <w:rFonts w:ascii="Times New Roman" w:hAnsi="Times New Roman"/>
          <w:b/>
          <w:bCs/>
          <w:color w:val="000000" w:themeColor="text1"/>
          <w:sz w:val="24"/>
          <w:szCs w:val="24"/>
          <w:lang w:val="sr-Latn-RS"/>
        </w:rPr>
        <w:t>I</w:t>
      </w:r>
      <w:r w:rsidRPr="00132ADA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I</w:t>
      </w:r>
      <w:r w:rsidR="001316B2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     </w:t>
      </w:r>
      <w:r w:rsidRPr="00132ADA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Pr="00132ADA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ПРЕГЛЕД И ОЦЕЊИВАЊЕ ПРИЈАВА</w:t>
      </w:r>
    </w:p>
    <w:p w:rsidR="00EE59C7" w:rsidRPr="000E4245" w:rsidRDefault="00EE59C7" w:rsidP="00EE59C7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EE59C7" w:rsidRPr="000E4245" w:rsidRDefault="00EE59C7" w:rsidP="001F02EB">
      <w:pPr>
        <w:pStyle w:val="ListParagraph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Поступак за оцењивање пристиглих пријава и избор корисника средстава вршиће се на основу листе приоритета састављене бодовањем према следећим критеријумима:</w:t>
      </w: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7939"/>
        <w:gridCol w:w="1559"/>
      </w:tblGrid>
      <w:tr w:rsidR="000E4245" w:rsidRPr="000E4245" w:rsidTr="00740C5F">
        <w:trPr>
          <w:trHeight w:val="877"/>
        </w:trPr>
        <w:tc>
          <w:tcPr>
            <w:tcW w:w="9498" w:type="dxa"/>
            <w:gridSpan w:val="2"/>
            <w:shd w:val="clear" w:color="auto" w:fill="A6A6A6" w:themeFill="background1" w:themeFillShade="A6"/>
            <w:vAlign w:val="center"/>
          </w:tcPr>
          <w:p w:rsidR="00EE59C7" w:rsidRPr="000E4245" w:rsidRDefault="00EE59C7" w:rsidP="00740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br w:type="page"/>
            </w:r>
            <w:r w:rsidRPr="000E4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ПОСТОЈЕЋИ НАЧИН ГРЕЈАЊА</w:t>
            </w:r>
          </w:p>
        </w:tc>
      </w:tr>
      <w:tr w:rsidR="000E4245" w:rsidRPr="000E4245" w:rsidTr="00740C5F">
        <w:trPr>
          <w:trHeight w:val="407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:rsidR="00EE59C7" w:rsidRPr="000E4245" w:rsidRDefault="00EE59C7" w:rsidP="00740C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Постојећи начин грејања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E59C7" w:rsidRPr="000E4245" w:rsidRDefault="00EE59C7" w:rsidP="00740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0E4245" w:rsidRPr="000E4245" w:rsidTr="00740C5F">
        <w:trPr>
          <w:trHeight w:val="340"/>
        </w:trPr>
        <w:tc>
          <w:tcPr>
            <w:tcW w:w="7939" w:type="dxa"/>
          </w:tcPr>
          <w:p w:rsidR="00EE59C7" w:rsidRPr="000E4245" w:rsidRDefault="00EE59C7" w:rsidP="00740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Угаљ, лож уље</w:t>
            </w:r>
          </w:p>
        </w:tc>
        <w:tc>
          <w:tcPr>
            <w:tcW w:w="1559" w:type="dxa"/>
            <w:vAlign w:val="center"/>
          </w:tcPr>
          <w:p w:rsidR="00EE59C7" w:rsidRPr="000E4245" w:rsidRDefault="00EE59C7" w:rsidP="00740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25</w:t>
            </w:r>
          </w:p>
        </w:tc>
      </w:tr>
      <w:tr w:rsidR="000E4245" w:rsidRPr="000E4245" w:rsidTr="00740C5F">
        <w:trPr>
          <w:trHeight w:val="340"/>
        </w:trPr>
        <w:tc>
          <w:tcPr>
            <w:tcW w:w="7939" w:type="dxa"/>
          </w:tcPr>
          <w:p w:rsidR="00EE59C7" w:rsidRPr="000E4245" w:rsidRDefault="00EE59C7" w:rsidP="00740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Дрво, брикет</w:t>
            </w:r>
          </w:p>
        </w:tc>
        <w:tc>
          <w:tcPr>
            <w:tcW w:w="1559" w:type="dxa"/>
            <w:vAlign w:val="center"/>
          </w:tcPr>
          <w:p w:rsidR="00EE59C7" w:rsidRPr="000E4245" w:rsidRDefault="00EE59C7" w:rsidP="00740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15</w:t>
            </w:r>
          </w:p>
        </w:tc>
      </w:tr>
      <w:tr w:rsidR="000E4245" w:rsidRPr="000E4245" w:rsidTr="00740C5F">
        <w:trPr>
          <w:trHeight w:val="340"/>
        </w:trPr>
        <w:tc>
          <w:tcPr>
            <w:tcW w:w="7939" w:type="dxa"/>
            <w:tcBorders>
              <w:bottom w:val="single" w:sz="4" w:space="0" w:color="000000" w:themeColor="text1"/>
            </w:tcBorders>
          </w:tcPr>
          <w:p w:rsidR="00EE59C7" w:rsidRPr="000E4245" w:rsidRDefault="00EE59C7" w:rsidP="00740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Електрична енергија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EE59C7" w:rsidRPr="000E4245" w:rsidRDefault="00EE59C7" w:rsidP="00740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</w:tr>
      <w:tr w:rsidR="000E4245" w:rsidRPr="000E4245" w:rsidTr="00740C5F">
        <w:tc>
          <w:tcPr>
            <w:tcW w:w="9498" w:type="dxa"/>
            <w:gridSpan w:val="2"/>
            <w:shd w:val="clear" w:color="auto" w:fill="auto"/>
            <w:vAlign w:val="center"/>
          </w:tcPr>
          <w:p w:rsidR="00EE59C7" w:rsidRPr="000E4245" w:rsidRDefault="00EE59C7" w:rsidP="00740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0E4245" w:rsidRPr="000E4245" w:rsidTr="00740C5F">
        <w:trPr>
          <w:trHeight w:val="405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:rsidR="00EE59C7" w:rsidRPr="000E4245" w:rsidRDefault="00EE59C7" w:rsidP="00740C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Врста грејног уређаја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E59C7" w:rsidRPr="000E4245" w:rsidRDefault="00EE59C7" w:rsidP="00740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0E4245" w:rsidRPr="000E4245" w:rsidTr="00740C5F">
        <w:trPr>
          <w:trHeight w:val="340"/>
        </w:trPr>
        <w:tc>
          <w:tcPr>
            <w:tcW w:w="7939" w:type="dxa"/>
          </w:tcPr>
          <w:p w:rsidR="00EE59C7" w:rsidRPr="000E4245" w:rsidRDefault="00EE59C7" w:rsidP="00740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Котао снаге  &gt;20kW</w:t>
            </w:r>
          </w:p>
        </w:tc>
        <w:tc>
          <w:tcPr>
            <w:tcW w:w="1559" w:type="dxa"/>
            <w:vAlign w:val="center"/>
          </w:tcPr>
          <w:p w:rsidR="00EE59C7" w:rsidRPr="000E4245" w:rsidRDefault="00EE59C7" w:rsidP="00740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25</w:t>
            </w:r>
          </w:p>
        </w:tc>
      </w:tr>
      <w:tr w:rsidR="000E4245" w:rsidRPr="000E4245" w:rsidTr="00740C5F">
        <w:trPr>
          <w:trHeight w:val="340"/>
        </w:trPr>
        <w:tc>
          <w:tcPr>
            <w:tcW w:w="7939" w:type="dxa"/>
          </w:tcPr>
          <w:p w:rsidR="00EE59C7" w:rsidRPr="000E4245" w:rsidRDefault="00EE59C7" w:rsidP="00740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Етажне пећи снаге &lt;20kW</w:t>
            </w:r>
          </w:p>
        </w:tc>
        <w:tc>
          <w:tcPr>
            <w:tcW w:w="1559" w:type="dxa"/>
            <w:vAlign w:val="center"/>
          </w:tcPr>
          <w:p w:rsidR="00EE59C7" w:rsidRPr="000E4245" w:rsidRDefault="00EE59C7" w:rsidP="00740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15</w:t>
            </w:r>
          </w:p>
        </w:tc>
      </w:tr>
      <w:tr w:rsidR="000E4245" w:rsidRPr="000E4245" w:rsidTr="00740C5F">
        <w:trPr>
          <w:trHeight w:val="340"/>
        </w:trPr>
        <w:tc>
          <w:tcPr>
            <w:tcW w:w="7939" w:type="dxa"/>
          </w:tcPr>
          <w:p w:rsidR="00EE59C7" w:rsidRPr="000E4245" w:rsidRDefault="00EE59C7" w:rsidP="00740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Шпорет, пећ</w:t>
            </w:r>
          </w:p>
        </w:tc>
        <w:tc>
          <w:tcPr>
            <w:tcW w:w="1559" w:type="dxa"/>
            <w:vAlign w:val="center"/>
          </w:tcPr>
          <w:p w:rsidR="00EE59C7" w:rsidRPr="000E4245" w:rsidRDefault="00EE59C7" w:rsidP="00740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</w:tr>
    </w:tbl>
    <w:p w:rsidR="00EE59C7" w:rsidRPr="000E4245" w:rsidRDefault="00EE59C7" w:rsidP="00EE59C7">
      <w:pPr>
        <w:rPr>
          <w:color w:val="000000" w:themeColor="text1"/>
          <w:lang w:val="sr-Cyrl-RS"/>
        </w:rPr>
      </w:pPr>
    </w:p>
    <w:p w:rsidR="00E755B1" w:rsidRPr="000E4245" w:rsidRDefault="00E755B1" w:rsidP="00EE59C7">
      <w:pPr>
        <w:rPr>
          <w:color w:val="000000" w:themeColor="text1"/>
          <w:lang w:val="sr-Cyrl-RS"/>
        </w:rPr>
      </w:pP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7967"/>
        <w:gridCol w:w="1531"/>
      </w:tblGrid>
      <w:tr w:rsidR="000E4245" w:rsidRPr="000E4245" w:rsidTr="00740C5F">
        <w:trPr>
          <w:trHeight w:val="422"/>
        </w:trPr>
        <w:tc>
          <w:tcPr>
            <w:tcW w:w="7967" w:type="dxa"/>
            <w:shd w:val="clear" w:color="auto" w:fill="BFBFBF" w:themeFill="background1" w:themeFillShade="BF"/>
            <w:vAlign w:val="center"/>
          </w:tcPr>
          <w:p w:rsidR="00EE59C7" w:rsidRPr="000E4245" w:rsidRDefault="00EE59C7" w:rsidP="00740C5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РЕЦИКЛАЖА ПОСТОЈЕЋЕГ КОТЛА ИЛИ ПЕЋИ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:rsidR="00EE59C7" w:rsidRPr="000E4245" w:rsidRDefault="00EE59C7" w:rsidP="00740C5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0E4245" w:rsidRPr="000E4245" w:rsidTr="00740C5F">
        <w:trPr>
          <w:trHeight w:val="350"/>
        </w:trPr>
        <w:tc>
          <w:tcPr>
            <w:tcW w:w="7967" w:type="dxa"/>
            <w:shd w:val="clear" w:color="auto" w:fill="auto"/>
            <w:vAlign w:val="center"/>
          </w:tcPr>
          <w:p w:rsidR="00EE59C7" w:rsidRPr="000E4245" w:rsidRDefault="00EE59C7" w:rsidP="00740C5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Постојећи котао или пећ ће бити предат на рециклажу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59C7" w:rsidRPr="000E4245" w:rsidRDefault="00EE59C7" w:rsidP="00740C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25</w:t>
            </w:r>
          </w:p>
        </w:tc>
      </w:tr>
      <w:tr w:rsidR="000E4245" w:rsidRPr="000E4245" w:rsidTr="00740C5F">
        <w:trPr>
          <w:trHeight w:val="346"/>
        </w:trPr>
        <w:tc>
          <w:tcPr>
            <w:tcW w:w="7967" w:type="dxa"/>
            <w:shd w:val="clear" w:color="auto" w:fill="auto"/>
            <w:vAlign w:val="center"/>
          </w:tcPr>
          <w:p w:rsidR="00EE59C7" w:rsidRPr="000E4245" w:rsidRDefault="00EE59C7" w:rsidP="00740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Постојећи котао или пећ неће бити предат на рециклажу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59C7" w:rsidRPr="000E4245" w:rsidRDefault="00EE59C7" w:rsidP="00740C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</w:tbl>
    <w:p w:rsidR="00E46302" w:rsidRPr="000E4245" w:rsidRDefault="00EE59C7" w:rsidP="00064656">
      <w:pPr>
        <w:spacing w:line="276" w:lineRule="auto"/>
        <w:ind w:firstLine="720"/>
        <w:jc w:val="both"/>
        <w:rPr>
          <w:color w:val="000000" w:themeColor="text1"/>
          <w:lang w:val="sr-Cyrl-RS"/>
        </w:rPr>
      </w:pPr>
      <w:r w:rsidRPr="000E4245">
        <w:rPr>
          <w:color w:val="000000" w:themeColor="text1"/>
          <w:lang w:val="sr-Cyrl-RS"/>
        </w:rPr>
        <w:t>Као критеријум за бодовање, за све мере из става 1. овог члана, користи се К фактор заузетости површине, који представља количник укупне површине стамбеног објекта (из пореске пријаве) и броја корисника тог објекта.</w:t>
      </w:r>
    </w:p>
    <w:tbl>
      <w:tblPr>
        <w:tblStyle w:val="TableGrid0"/>
        <w:tblW w:w="9498" w:type="dxa"/>
        <w:tblInd w:w="-41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939"/>
        <w:gridCol w:w="1559"/>
      </w:tblGrid>
      <w:tr w:rsidR="000E4245" w:rsidRPr="000E4245" w:rsidTr="00740C5F">
        <w:trPr>
          <w:trHeight w:val="372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E59C7" w:rsidRPr="000E4245" w:rsidRDefault="00EE59C7" w:rsidP="00740C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 фактор заузетости површине за породичне куће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EE59C7" w:rsidRPr="000E4245" w:rsidRDefault="00EE59C7" w:rsidP="00740C5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0E4245" w:rsidRPr="000E4245" w:rsidTr="00740C5F">
        <w:trPr>
          <w:trHeight w:val="346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9C7" w:rsidRPr="000E4245" w:rsidRDefault="00EE59C7" w:rsidP="00740C5F">
            <w:pPr>
              <w:spacing w:line="259" w:lineRule="auto"/>
              <w:ind w:left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К&lt;15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9C7" w:rsidRPr="000E4245" w:rsidRDefault="00EE59C7" w:rsidP="00740C5F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</w:tr>
      <w:tr w:rsidR="000E4245" w:rsidRPr="000E4245" w:rsidTr="00740C5F">
        <w:trPr>
          <w:trHeight w:val="346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9C7" w:rsidRPr="000E4245" w:rsidRDefault="00EE59C7" w:rsidP="00740C5F">
            <w:pPr>
              <w:ind w:left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15≤К&lt;17,5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9C7" w:rsidRPr="000E4245" w:rsidRDefault="00EE59C7" w:rsidP="00740C5F">
            <w:pPr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4,5</w:t>
            </w:r>
          </w:p>
        </w:tc>
      </w:tr>
      <w:tr w:rsidR="000E4245" w:rsidRPr="000E4245" w:rsidTr="00740C5F">
        <w:trPr>
          <w:trHeight w:val="34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9C7" w:rsidRPr="000E4245" w:rsidRDefault="00EE59C7" w:rsidP="00740C5F">
            <w:pPr>
              <w:spacing w:line="259" w:lineRule="auto"/>
              <w:ind w:left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17,5≤К&lt;20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9C7" w:rsidRPr="000E4245" w:rsidRDefault="00EE59C7" w:rsidP="00740C5F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</w:tr>
      <w:tr w:rsidR="000E4245" w:rsidRPr="000E4245" w:rsidTr="00740C5F">
        <w:trPr>
          <w:trHeight w:val="346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9C7" w:rsidRPr="000E4245" w:rsidRDefault="00EE59C7" w:rsidP="00740C5F">
            <w:pPr>
              <w:spacing w:line="259" w:lineRule="auto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20≤К&lt;22,5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9C7" w:rsidRPr="000E4245" w:rsidRDefault="00EE59C7" w:rsidP="00740C5F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3,5</w:t>
            </w:r>
          </w:p>
        </w:tc>
      </w:tr>
      <w:tr w:rsidR="000E4245" w:rsidRPr="000E4245" w:rsidTr="00740C5F">
        <w:trPr>
          <w:trHeight w:val="35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9C7" w:rsidRPr="000E4245" w:rsidRDefault="00EE59C7" w:rsidP="00740C5F">
            <w:pPr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22,5≤К&lt;25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9C7" w:rsidRPr="000E4245" w:rsidRDefault="00EE59C7" w:rsidP="00740C5F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</w:tr>
      <w:tr w:rsidR="000E4245" w:rsidRPr="000E4245" w:rsidTr="00740C5F">
        <w:trPr>
          <w:trHeight w:val="35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9C7" w:rsidRPr="000E4245" w:rsidRDefault="00EE59C7" w:rsidP="00740C5F">
            <w:pPr>
              <w:spacing w:line="259" w:lineRule="auto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25≤К≤27,5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9C7" w:rsidRPr="000E4245" w:rsidRDefault="00EE59C7" w:rsidP="00740C5F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2,5</w:t>
            </w:r>
          </w:p>
        </w:tc>
      </w:tr>
      <w:tr w:rsidR="000E4245" w:rsidRPr="000E4245" w:rsidTr="00740C5F">
        <w:trPr>
          <w:trHeight w:val="35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9C7" w:rsidRPr="000E4245" w:rsidRDefault="00EE59C7" w:rsidP="00740C5F">
            <w:pPr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27,5≤К≤30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9C7" w:rsidRPr="000E4245" w:rsidRDefault="00EE59C7" w:rsidP="00740C5F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</w:tr>
      <w:tr w:rsidR="000E4245" w:rsidRPr="000E4245" w:rsidTr="00740C5F">
        <w:trPr>
          <w:trHeight w:val="353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E59C7" w:rsidRPr="000E4245" w:rsidRDefault="00EE59C7" w:rsidP="00740C5F">
            <w:pPr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К&gt;30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9C7" w:rsidRPr="000E4245" w:rsidRDefault="00EE59C7" w:rsidP="00740C5F">
            <w:pPr>
              <w:ind w:left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E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</w:tbl>
    <w:p w:rsidR="001316B2" w:rsidRDefault="00064656" w:rsidP="00557669">
      <w:pPr>
        <w:pStyle w:val="ListParagraph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</w:p>
    <w:p w:rsidR="00557669" w:rsidRDefault="001316B2" w:rsidP="00557669">
      <w:pPr>
        <w:pStyle w:val="ListParagraph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</w:t>
      </w:r>
      <w:r w:rsidR="00E46302"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:rsidR="00E46302" w:rsidRPr="00557669" w:rsidRDefault="00557669" w:rsidP="00557669">
      <w:pPr>
        <w:pStyle w:val="ListParagraph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ab/>
      </w:r>
      <w:r w:rsidR="001316B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</w:t>
      </w:r>
      <w:r w:rsidR="00E46302" w:rsidRPr="0055766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Уколико се два захтева на крају бодовне листе за доделу средстава оцене са истим бројем бодова, средства ће добити подносилац захтева са већим бројем бодова у критеријуму мере за коју подноси захтев, уколико и тада број бодова буде исти предност подносиоци пријава чији је фактор искоришћавања површине К мањи.  </w:t>
      </w:r>
    </w:p>
    <w:p w:rsidR="001F02EB" w:rsidRPr="000E4245" w:rsidRDefault="00D44969" w:rsidP="001316B2">
      <w:pPr>
        <w:spacing w:before="100" w:beforeAutospacing="1" w:after="100" w:afterAutospacing="1"/>
        <w:jc w:val="center"/>
        <w:rPr>
          <w:b/>
          <w:color w:val="000000" w:themeColor="text1"/>
          <w:lang w:val="sr-Cyrl-RS"/>
        </w:rPr>
      </w:pPr>
      <w:r w:rsidRPr="000E4245">
        <w:rPr>
          <w:b/>
          <w:bCs/>
          <w:color w:val="000000" w:themeColor="text1"/>
          <w:lang w:val="sr-Latn-RS"/>
        </w:rPr>
        <w:t>IX</w:t>
      </w:r>
      <w:r w:rsidR="00E46302" w:rsidRPr="000E4245">
        <w:rPr>
          <w:b/>
          <w:bCs/>
          <w:color w:val="000000" w:themeColor="text1"/>
          <w:lang w:val="sr-Cyrl-RS"/>
        </w:rPr>
        <w:t xml:space="preserve"> </w:t>
      </w:r>
      <w:r w:rsidR="001316B2">
        <w:rPr>
          <w:b/>
          <w:bCs/>
          <w:color w:val="000000" w:themeColor="text1"/>
          <w:lang w:val="sr-Cyrl-RS"/>
        </w:rPr>
        <w:t xml:space="preserve">      </w:t>
      </w:r>
      <w:r w:rsidR="001F02EB" w:rsidRPr="000E4245">
        <w:rPr>
          <w:b/>
          <w:color w:val="000000" w:themeColor="text1"/>
          <w:lang w:val="sr-Cyrl-RS"/>
        </w:rPr>
        <w:t>ОЦЕЊИВАЊЕ И РАНГИРАЊЕ ПРИЈАВА</w:t>
      </w:r>
    </w:p>
    <w:p w:rsidR="006A0BFA" w:rsidRPr="000E4245" w:rsidRDefault="006A0BFA" w:rsidP="006A0BFA">
      <w:pPr>
        <w:ind w:firstLine="612"/>
        <w:jc w:val="both"/>
        <w:rPr>
          <w:color w:val="000000" w:themeColor="text1"/>
          <w:lang w:val="sr-Cyrl-RS"/>
        </w:rPr>
      </w:pPr>
      <w:r w:rsidRPr="000E4245">
        <w:rPr>
          <w:color w:val="000000" w:themeColor="text1"/>
          <w:lang w:val="sr-Cyrl-RS"/>
        </w:rPr>
        <w:t>Оцењивање и рангирање пријава, в</w:t>
      </w:r>
      <w:r w:rsidR="0091430E">
        <w:rPr>
          <w:color w:val="000000" w:themeColor="text1"/>
          <w:lang w:val="sr-Cyrl-RS"/>
        </w:rPr>
        <w:t>рши се применом критеријума из</w:t>
      </w:r>
      <w:r w:rsidR="0091430E">
        <w:rPr>
          <w:color w:val="000000" w:themeColor="text1"/>
          <w:lang w:val="sr-Latn-RS"/>
        </w:rPr>
        <w:t xml:space="preserve"> </w:t>
      </w:r>
      <w:r w:rsidR="0091430E">
        <w:rPr>
          <w:color w:val="000000" w:themeColor="text1"/>
          <w:lang w:val="sr-Cyrl-RS"/>
        </w:rPr>
        <w:t>члана</w:t>
      </w:r>
      <w:r w:rsidR="0091430E">
        <w:rPr>
          <w:color w:val="000000" w:themeColor="text1"/>
          <w:lang w:val="sr-Latn-RS"/>
        </w:rPr>
        <w:t xml:space="preserve"> </w:t>
      </w:r>
      <w:r w:rsidRPr="000E4245">
        <w:rPr>
          <w:color w:val="000000" w:themeColor="text1"/>
          <w:lang w:val="sr-Cyrl-RS"/>
        </w:rPr>
        <w:t>1</w:t>
      </w:r>
      <w:r w:rsidRPr="000E4245">
        <w:rPr>
          <w:color w:val="000000" w:themeColor="text1"/>
          <w:lang w:val="sr-Latn-RS"/>
        </w:rPr>
        <w:t>4</w:t>
      </w:r>
      <w:r w:rsidRPr="000E4245">
        <w:rPr>
          <w:color w:val="000000" w:themeColor="text1"/>
          <w:lang w:val="sr-Cyrl-RS"/>
        </w:rPr>
        <w:t>. Правилника.</w:t>
      </w:r>
    </w:p>
    <w:p w:rsidR="006A0BFA" w:rsidRPr="000E4245" w:rsidRDefault="006A0BFA" w:rsidP="006A0BFA">
      <w:pPr>
        <w:ind w:firstLine="612"/>
        <w:jc w:val="both"/>
        <w:rPr>
          <w:color w:val="000000" w:themeColor="text1"/>
          <w:lang w:val="sr-Cyrl-RS"/>
        </w:rPr>
      </w:pPr>
      <w:r w:rsidRPr="000E4245">
        <w:rPr>
          <w:color w:val="000000" w:themeColor="text1"/>
          <w:lang w:val="sr-Cyrl-RS"/>
        </w:rPr>
        <w:t>Комисија разматра пријаве и у складу са условима  из члана 1</w:t>
      </w:r>
      <w:r w:rsidRPr="000E4245">
        <w:rPr>
          <w:color w:val="000000" w:themeColor="text1"/>
          <w:lang w:val="sr-Latn-RS"/>
        </w:rPr>
        <w:t>4</w:t>
      </w:r>
      <w:r w:rsidRPr="000E4245">
        <w:rPr>
          <w:color w:val="000000" w:themeColor="text1"/>
          <w:lang w:val="sr-Cyrl-RS"/>
        </w:rPr>
        <w:t>, утврђује прелиминарну ранг листу крајњих корисника за сваку меру на основу бодовања према критеријумима из члана 1</w:t>
      </w:r>
      <w:r w:rsidRPr="000E4245">
        <w:rPr>
          <w:color w:val="000000" w:themeColor="text1"/>
          <w:lang w:val="sr-Latn-RS"/>
        </w:rPr>
        <w:t>4</w:t>
      </w:r>
      <w:r w:rsidR="0091430E">
        <w:rPr>
          <w:color w:val="000000" w:themeColor="text1"/>
          <w:lang w:val="sr-Cyrl-RS"/>
        </w:rPr>
        <w:t>. П</w:t>
      </w:r>
      <w:r w:rsidRPr="000E4245">
        <w:rPr>
          <w:color w:val="000000" w:themeColor="text1"/>
          <w:lang w:val="sr-Cyrl-RS"/>
        </w:rPr>
        <w:t>равилника.</w:t>
      </w:r>
    </w:p>
    <w:p w:rsidR="006A0BFA" w:rsidRPr="000E4245" w:rsidRDefault="006A0BFA" w:rsidP="006A0BFA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 случају да је пријава неуредна,</w:t>
      </w:r>
      <w:r w:rsidR="0091430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тј</w:t>
      </w:r>
      <w:r w:rsidR="0091430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има недостатке који Комиси</w:t>
      </w:r>
      <w:r w:rsidR="0091430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ју спречавају да поступа по истој</w:t>
      </w:r>
      <w:r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ако није разумљива или ако није потпуна, Комисија ће у року од осам дана од пријема пријаве обавестити подносиоца на који начин да уреди пријаву и то у року који не може бити краћи од осам дана, уз упозорење на правне последице ако не уреди пријаву у року. </w:t>
      </w:r>
    </w:p>
    <w:p w:rsidR="006A0BFA" w:rsidRPr="000E4245" w:rsidRDefault="0091430E" w:rsidP="006A0BFA">
      <w:pPr>
        <w:pStyle w:val="ListParagraph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Листу из става 2. главе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  <w:t>IX</w:t>
      </w:r>
      <w:r w:rsidR="006A0BFA" w:rsidRPr="000E424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Комисија објављује на званичној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интернет страници  Града Ниша (</w:t>
      </w:r>
      <w:r w:rsidR="006A0BFA" w:rsidRPr="000E424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линк: </w:t>
      </w:r>
      <w:hyperlink r:id="rId13" w:history="1">
        <w:r w:rsidR="006A0BFA" w:rsidRPr="000E4245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lang w:val="sr-Cyrl-RS"/>
          </w:rPr>
          <w:t>www.ni.rs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) и </w:t>
      </w:r>
      <w:r w:rsidR="006A0BFA" w:rsidRPr="000E424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Канцеларије з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а локални економски развој (</w:t>
      </w:r>
      <w:r w:rsidR="006A0BFA" w:rsidRPr="000E424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линк: </w:t>
      </w:r>
      <w:hyperlink r:id="rId14" w:history="1">
        <w:r w:rsidR="006A0BFA" w:rsidRPr="000E4245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lang w:val="sr-Cyrl-RS"/>
          </w:rPr>
          <w:t>www.investnis.rs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)</w:t>
      </w:r>
      <w:r w:rsidR="006A0BFA" w:rsidRPr="000E424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као и на огласној табли органа и служби Града Ниша, улица Николе Пашића 24, Ниш. </w:t>
      </w:r>
    </w:p>
    <w:p w:rsidR="006A0BFA" w:rsidRPr="000E4245" w:rsidRDefault="006A0BFA" w:rsidP="006A0BFA">
      <w:pPr>
        <w:ind w:firstLine="612"/>
        <w:jc w:val="both"/>
        <w:rPr>
          <w:color w:val="000000" w:themeColor="text1"/>
          <w:lang w:val="sr-Cyrl-RS"/>
        </w:rPr>
      </w:pPr>
      <w:r w:rsidRPr="000E4245">
        <w:rPr>
          <w:color w:val="000000" w:themeColor="text1"/>
          <w:lang w:val="sr-Cyrl-RS"/>
        </w:rPr>
        <w:t>Подносиоци пријава имају право увида у поднете пријаве и приложену документацију по утврђи</w:t>
      </w:r>
      <w:r w:rsidR="0091430E">
        <w:rPr>
          <w:color w:val="000000" w:themeColor="text1"/>
          <w:lang w:val="sr-Cyrl-RS"/>
        </w:rPr>
        <w:t xml:space="preserve">вању листе из става 2. главе </w:t>
      </w:r>
      <w:r w:rsidR="0091430E">
        <w:rPr>
          <w:color w:val="000000" w:themeColor="text1"/>
          <w:lang w:val="sr-Latn-RS"/>
        </w:rPr>
        <w:t xml:space="preserve">IX </w:t>
      </w:r>
      <w:r w:rsidRPr="000E4245">
        <w:rPr>
          <w:color w:val="000000" w:themeColor="text1"/>
          <w:lang w:val="sr-Cyrl-RS"/>
        </w:rPr>
        <w:t xml:space="preserve">у року од три дана од дана објављивања листе у складу са ставом </w:t>
      </w:r>
      <w:r w:rsidRPr="000E4245">
        <w:rPr>
          <w:color w:val="000000" w:themeColor="text1"/>
        </w:rPr>
        <w:t>4</w:t>
      </w:r>
      <w:r w:rsidR="00281A9D">
        <w:rPr>
          <w:color w:val="000000" w:themeColor="text1"/>
          <w:lang w:val="sr-Cyrl-RS"/>
        </w:rPr>
        <w:t>.</w:t>
      </w:r>
      <w:r w:rsidR="0091430E">
        <w:rPr>
          <w:color w:val="000000" w:themeColor="text1"/>
          <w:lang w:val="sr-Cyrl-RS"/>
        </w:rPr>
        <w:t xml:space="preserve"> главе </w:t>
      </w:r>
      <w:r w:rsidR="0091430E">
        <w:rPr>
          <w:color w:val="000000" w:themeColor="text1"/>
          <w:lang w:val="sr-Latn-RS"/>
        </w:rPr>
        <w:t>IX, a</w:t>
      </w:r>
      <w:r w:rsidRPr="000E4245">
        <w:rPr>
          <w:color w:val="000000" w:themeColor="text1"/>
        </w:rPr>
        <w:t xml:space="preserve"> </w:t>
      </w:r>
      <w:r w:rsidR="0091430E">
        <w:rPr>
          <w:color w:val="000000" w:themeColor="text1"/>
          <w:lang w:val="sr-Cyrl-RS"/>
        </w:rPr>
        <w:t>по захтеву</w:t>
      </w:r>
      <w:r w:rsidRPr="000E4245">
        <w:rPr>
          <w:color w:val="000000" w:themeColor="text1"/>
          <w:lang w:val="sr-Cyrl-RS"/>
        </w:rPr>
        <w:t xml:space="preserve"> поднетом у писаном или усменом облику.</w:t>
      </w:r>
    </w:p>
    <w:p w:rsidR="006A0BFA" w:rsidRPr="000E4245" w:rsidRDefault="0091430E" w:rsidP="006A0BFA">
      <w:pPr>
        <w:ind w:firstLine="612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На листу из става 2. главе </w:t>
      </w:r>
      <w:r>
        <w:rPr>
          <w:color w:val="000000" w:themeColor="text1"/>
          <w:lang w:val="sr-Latn-RS"/>
        </w:rPr>
        <w:t>IX</w:t>
      </w:r>
      <w:r w:rsidR="006A0BFA" w:rsidRPr="000E4245">
        <w:rPr>
          <w:color w:val="000000" w:themeColor="text1"/>
          <w:lang w:val="sr-Cyrl-RS"/>
        </w:rPr>
        <w:t xml:space="preserve"> подносиоци пријава имају право приговора Комисији у року од три дана од дана њеног објављивања. Приговор се подноси на писарници Града Ниша.</w:t>
      </w:r>
    </w:p>
    <w:p w:rsidR="00064656" w:rsidRPr="000E4245" w:rsidRDefault="00064656" w:rsidP="00064656">
      <w:pPr>
        <w:ind w:firstLine="612"/>
        <w:jc w:val="both"/>
        <w:rPr>
          <w:color w:val="000000" w:themeColor="text1"/>
          <w:lang w:val="sr-Cyrl-RS"/>
        </w:rPr>
      </w:pPr>
      <w:r w:rsidRPr="000E4245">
        <w:rPr>
          <w:color w:val="000000" w:themeColor="text1"/>
          <w:lang w:val="sr-Cyrl-RS"/>
        </w:rPr>
        <w:t>Комисија је дужна да размотри поднете приговоре</w:t>
      </w:r>
      <w:r w:rsidR="00AE71FC">
        <w:rPr>
          <w:color w:val="000000" w:themeColor="text1"/>
          <w:lang w:val="sr-Cyrl-RS"/>
        </w:rPr>
        <w:t xml:space="preserve"> на листу из става 2. главе </w:t>
      </w:r>
      <w:r w:rsidR="00AE71FC">
        <w:rPr>
          <w:color w:val="000000" w:themeColor="text1"/>
          <w:lang w:val="sr-Latn-RS"/>
        </w:rPr>
        <w:t>IX</w:t>
      </w:r>
      <w:r w:rsidR="00AE71FC">
        <w:rPr>
          <w:color w:val="000000" w:themeColor="text1"/>
          <w:lang w:val="sr-Cyrl-RS"/>
        </w:rPr>
        <w:t xml:space="preserve"> као и да донесе </w:t>
      </w:r>
      <w:r w:rsidRPr="000E4245">
        <w:rPr>
          <w:color w:val="000000" w:themeColor="text1"/>
          <w:lang w:val="sr-Cyrl-RS"/>
        </w:rPr>
        <w:t xml:space="preserve">одлуку о приговору, која мора бити образложена, у року од осам дана од дана његовог пријема и на основу донетих одлука донесе ревидирану прелиминарну листу. </w:t>
      </w:r>
    </w:p>
    <w:p w:rsidR="00064656" w:rsidRPr="000E4245" w:rsidRDefault="00064656" w:rsidP="00064656">
      <w:pPr>
        <w:ind w:firstLine="612"/>
        <w:jc w:val="both"/>
        <w:rPr>
          <w:color w:val="000000" w:themeColor="text1"/>
          <w:lang w:val="sr-Cyrl-RS"/>
        </w:rPr>
      </w:pPr>
      <w:r w:rsidRPr="000E4245">
        <w:rPr>
          <w:color w:val="000000" w:themeColor="text1"/>
          <w:lang w:val="sr-Cyrl-RS"/>
        </w:rPr>
        <w:t>На основу ревидиране прелиминарне листе, Комисија сачињава Предлог решења о додели бесповратних средстава крајњим корисницима са листом корисника средстава за суфинансирање м</w:t>
      </w:r>
      <w:r w:rsidR="00281A9D">
        <w:rPr>
          <w:color w:val="000000" w:themeColor="text1"/>
          <w:lang w:val="sr-Cyrl-RS"/>
        </w:rPr>
        <w:t>ера смањења загађења ваздуха у Г</w:t>
      </w:r>
      <w:r w:rsidRPr="000E4245">
        <w:rPr>
          <w:color w:val="000000" w:themeColor="text1"/>
          <w:lang w:val="sr-Cyrl-RS"/>
        </w:rPr>
        <w:t xml:space="preserve">раду Нишу пореклом из индивидуалних </w:t>
      </w:r>
      <w:r w:rsidR="00281A9D">
        <w:rPr>
          <w:color w:val="000000" w:themeColor="text1"/>
          <w:lang w:val="sr-Cyrl-RS"/>
        </w:rPr>
        <w:t>извора у 2023. години</w:t>
      </w:r>
      <w:r w:rsidRPr="000E4245">
        <w:rPr>
          <w:color w:val="000000" w:themeColor="text1"/>
          <w:lang w:val="sr-Cyrl-RS"/>
        </w:rPr>
        <w:t>.</w:t>
      </w:r>
      <w:r w:rsidRPr="000E4245">
        <w:rPr>
          <w:color w:val="000000" w:themeColor="text1"/>
        </w:rPr>
        <w:t xml:space="preserve"> </w:t>
      </w:r>
      <w:r w:rsidRPr="000E4245">
        <w:rPr>
          <w:color w:val="000000" w:themeColor="text1"/>
          <w:lang w:val="sr-Cyrl-RS"/>
        </w:rPr>
        <w:t>Коначно Решење</w:t>
      </w:r>
      <w:r w:rsidRPr="000E4245">
        <w:rPr>
          <w:color w:val="000000" w:themeColor="text1"/>
        </w:rPr>
        <w:t xml:space="preserve"> </w:t>
      </w:r>
      <w:r w:rsidRPr="000E4245">
        <w:rPr>
          <w:color w:val="000000" w:themeColor="text1"/>
          <w:lang w:val="sr-Cyrl-RS"/>
        </w:rPr>
        <w:t>о додели бесповратних средстава крајњим корисницима са листом корисника средстава за суфинансирање м</w:t>
      </w:r>
      <w:r w:rsidR="00281A9D">
        <w:rPr>
          <w:color w:val="000000" w:themeColor="text1"/>
          <w:lang w:val="sr-Cyrl-RS"/>
        </w:rPr>
        <w:t>ера смањења загађења ваздуха у Г</w:t>
      </w:r>
      <w:r w:rsidRPr="000E4245">
        <w:rPr>
          <w:color w:val="000000" w:themeColor="text1"/>
          <w:lang w:val="sr-Cyrl-RS"/>
        </w:rPr>
        <w:t xml:space="preserve">раду Нишу пореклом из индивидуалних </w:t>
      </w:r>
      <w:r w:rsidR="00281A9D">
        <w:rPr>
          <w:color w:val="000000" w:themeColor="text1"/>
          <w:lang w:val="sr-Cyrl-RS"/>
        </w:rPr>
        <w:t>извора у 2023. години</w:t>
      </w:r>
      <w:r w:rsidRPr="000E4245">
        <w:rPr>
          <w:color w:val="000000" w:themeColor="text1"/>
          <w:lang w:val="sr-Cyrl-RS"/>
        </w:rPr>
        <w:t xml:space="preserve"> (у даљем тексту</w:t>
      </w:r>
      <w:r w:rsidR="00AE71FC">
        <w:rPr>
          <w:color w:val="000000" w:themeColor="text1"/>
          <w:lang w:val="sr-Cyrl-RS"/>
        </w:rPr>
        <w:t>:</w:t>
      </w:r>
      <w:r w:rsidRPr="000E4245">
        <w:rPr>
          <w:color w:val="000000" w:themeColor="text1"/>
          <w:lang w:val="sr-Cyrl-RS"/>
        </w:rPr>
        <w:t xml:space="preserve"> Решење), доноси Грaдско веће на предлог Комисије.</w:t>
      </w:r>
    </w:p>
    <w:p w:rsidR="00064656" w:rsidRPr="000E4245" w:rsidRDefault="00064656" w:rsidP="00281A9D">
      <w:pPr>
        <w:ind w:firstLine="612"/>
        <w:jc w:val="both"/>
        <w:rPr>
          <w:color w:val="000000" w:themeColor="text1"/>
          <w:lang w:val="sr-Cyrl-RS"/>
        </w:rPr>
      </w:pPr>
      <w:r w:rsidRPr="000E4245">
        <w:rPr>
          <w:color w:val="000000" w:themeColor="text1"/>
          <w:lang w:val="sr-Cyrl-RS"/>
        </w:rPr>
        <w:t xml:space="preserve">Решење Градског већа Комисија објављује на званичној интернет страници </w:t>
      </w:r>
      <w:r w:rsidR="00AE71FC">
        <w:rPr>
          <w:color w:val="000000" w:themeColor="text1"/>
          <w:lang w:val="sr-Cyrl-RS"/>
        </w:rPr>
        <w:t>Града Ниша</w:t>
      </w:r>
      <w:r w:rsidRPr="000E4245">
        <w:rPr>
          <w:color w:val="000000" w:themeColor="text1"/>
          <w:lang w:val="sr-Cyrl-RS"/>
        </w:rPr>
        <w:t xml:space="preserve"> </w:t>
      </w:r>
      <w:r w:rsidR="00AE71FC">
        <w:rPr>
          <w:color w:val="000000" w:themeColor="text1"/>
          <w:lang w:val="sr-Cyrl-RS"/>
        </w:rPr>
        <w:t>(</w:t>
      </w:r>
      <w:r w:rsidRPr="000E4245">
        <w:rPr>
          <w:color w:val="000000" w:themeColor="text1"/>
          <w:lang w:val="sr-Cyrl-RS"/>
        </w:rPr>
        <w:t xml:space="preserve">линк: </w:t>
      </w:r>
      <w:hyperlink r:id="rId15" w:history="1">
        <w:r w:rsidRPr="000E4245">
          <w:rPr>
            <w:rStyle w:val="Hyperlink"/>
            <w:color w:val="000000" w:themeColor="text1"/>
            <w:lang w:val="sr-Cyrl-RS"/>
          </w:rPr>
          <w:t>www.ni.rs</w:t>
        </w:r>
      </w:hyperlink>
      <w:r w:rsidR="00AE71FC">
        <w:rPr>
          <w:rStyle w:val="Hyperlink"/>
          <w:color w:val="000000" w:themeColor="text1"/>
          <w:lang w:val="sr-Cyrl-RS"/>
        </w:rPr>
        <w:t xml:space="preserve"> )</w:t>
      </w:r>
      <w:r w:rsidR="00281A9D">
        <w:rPr>
          <w:color w:val="000000" w:themeColor="text1"/>
          <w:lang w:val="sr-Cyrl-RS"/>
        </w:rPr>
        <w:t xml:space="preserve">, </w:t>
      </w:r>
      <w:r w:rsidR="00281A9D" w:rsidRPr="000E4245">
        <w:rPr>
          <w:color w:val="000000" w:themeColor="text1"/>
          <w:lang w:val="sr-Cyrl-RS"/>
        </w:rPr>
        <w:t xml:space="preserve">званичној интернет страници </w:t>
      </w:r>
      <w:r w:rsidRPr="000E4245">
        <w:rPr>
          <w:color w:val="000000" w:themeColor="text1"/>
          <w:lang w:val="sr-Cyrl-RS"/>
        </w:rPr>
        <w:t>Канцелари</w:t>
      </w:r>
      <w:r w:rsidR="00AE71FC">
        <w:rPr>
          <w:color w:val="000000" w:themeColor="text1"/>
          <w:lang w:val="sr-Cyrl-RS"/>
        </w:rPr>
        <w:t>је за локални економски развој (</w:t>
      </w:r>
      <w:r w:rsidRPr="000E4245">
        <w:rPr>
          <w:color w:val="000000" w:themeColor="text1"/>
          <w:lang w:val="sr-Cyrl-RS"/>
        </w:rPr>
        <w:t xml:space="preserve">линк: </w:t>
      </w:r>
      <w:hyperlink r:id="rId16" w:history="1">
        <w:r w:rsidRPr="000E4245">
          <w:rPr>
            <w:rStyle w:val="Hyperlink"/>
            <w:color w:val="000000" w:themeColor="text1"/>
            <w:lang w:val="sr-Cyrl-RS"/>
          </w:rPr>
          <w:t>www.investnis.rs</w:t>
        </w:r>
      </w:hyperlink>
      <w:r w:rsidR="00AE71FC">
        <w:rPr>
          <w:rStyle w:val="Hyperlink"/>
          <w:color w:val="000000" w:themeColor="text1"/>
          <w:lang w:val="sr-Cyrl-RS"/>
        </w:rPr>
        <w:t>)</w:t>
      </w:r>
      <w:r w:rsidRPr="000E4245">
        <w:rPr>
          <w:color w:val="000000" w:themeColor="text1"/>
          <w:lang w:val="sr-Cyrl-RS"/>
        </w:rPr>
        <w:t xml:space="preserve"> као и огласној табли органа и служби Града Ниша, </w:t>
      </w:r>
      <w:r w:rsidR="00281A9D">
        <w:rPr>
          <w:color w:val="000000" w:themeColor="text1"/>
          <w:lang w:val="sr-Cyrl-RS"/>
        </w:rPr>
        <w:t>у ул.</w:t>
      </w:r>
      <w:r w:rsidRPr="000E4245">
        <w:rPr>
          <w:color w:val="000000" w:themeColor="text1"/>
          <w:lang w:val="sr-Cyrl-RS"/>
        </w:rPr>
        <w:t xml:space="preserve"> Николе Пашића 24, Ниш. </w:t>
      </w:r>
    </w:p>
    <w:p w:rsidR="00EE59C7" w:rsidRPr="000E4245" w:rsidRDefault="002D6D30" w:rsidP="00281A9D">
      <w:pPr>
        <w:spacing w:before="100" w:beforeAutospacing="1" w:after="100" w:afterAutospacing="1"/>
        <w:jc w:val="center"/>
        <w:rPr>
          <w:b/>
          <w:bCs/>
          <w:color w:val="000000" w:themeColor="text1"/>
          <w:lang w:val="sr-Cyrl-RS"/>
        </w:rPr>
      </w:pPr>
      <w:r w:rsidRPr="000E4245">
        <w:rPr>
          <w:b/>
          <w:bCs/>
          <w:color w:val="000000" w:themeColor="text1"/>
          <w:lang w:val="sr-Latn-RS"/>
        </w:rPr>
        <w:t xml:space="preserve">X </w:t>
      </w:r>
      <w:r w:rsidR="00281A9D">
        <w:rPr>
          <w:b/>
          <w:bCs/>
          <w:color w:val="000000" w:themeColor="text1"/>
          <w:lang w:val="sr-Cyrl-RS"/>
        </w:rPr>
        <w:t xml:space="preserve">     </w:t>
      </w:r>
      <w:r w:rsidR="00E46302" w:rsidRPr="000E4245">
        <w:rPr>
          <w:b/>
          <w:bCs/>
          <w:color w:val="000000" w:themeColor="text1"/>
          <w:lang w:val="sr-Cyrl-RS"/>
        </w:rPr>
        <w:t>РЕАЛИЗАЦИЈА ИНВЕСТИЦИЈЕ</w:t>
      </w:r>
    </w:p>
    <w:p w:rsidR="00557669" w:rsidRPr="00E16F6D" w:rsidRDefault="00557669" w:rsidP="00557669">
      <w:pPr>
        <w:tabs>
          <w:tab w:val="left" w:pos="851"/>
        </w:tabs>
        <w:jc w:val="both"/>
        <w:rPr>
          <w:color w:val="auto"/>
          <w:lang w:val="sr-Cyrl-RS"/>
        </w:rPr>
      </w:pPr>
      <w:r w:rsidRPr="00E16F6D">
        <w:rPr>
          <w:b/>
          <w:color w:val="auto"/>
          <w:lang w:val="sr-Cyrl-RS"/>
        </w:rPr>
        <w:tab/>
      </w:r>
      <w:r w:rsidRPr="00E16F6D">
        <w:rPr>
          <w:color w:val="auto"/>
          <w:lang w:val="sr-Cyrl-RS"/>
        </w:rPr>
        <w:t>На основу Решења, Град Ниш ће са свим одабраним корисницима склопити Уговоре о суфинансирању.</w:t>
      </w:r>
    </w:p>
    <w:p w:rsidR="00557669" w:rsidRPr="00E16F6D" w:rsidRDefault="00557669" w:rsidP="00557669">
      <w:pPr>
        <w:tabs>
          <w:tab w:val="left" w:pos="709"/>
        </w:tabs>
        <w:ind w:firstLine="851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>Одабрани корисник средстава дужан је да најкасније у року од 8 календарских дана, од дана пријема позива за потписивање Уговора</w:t>
      </w:r>
      <w:r w:rsidR="009A1726">
        <w:rPr>
          <w:color w:val="auto"/>
          <w:lang w:val="sr-Cyrl-RS"/>
        </w:rPr>
        <w:t xml:space="preserve"> (писменим или усменим путем)</w:t>
      </w:r>
      <w:r w:rsidRPr="00E16F6D">
        <w:rPr>
          <w:color w:val="auto"/>
          <w:lang w:val="sr-Cyrl-RS"/>
        </w:rPr>
        <w:t>, потпише Уговор са Градом. Уколико одабрани корисник у предвиђеном року не потпише Уговор сматраће се да је одустао од учешћа на Конкурсу.</w:t>
      </w:r>
    </w:p>
    <w:p w:rsidR="00557669" w:rsidRDefault="00557669" w:rsidP="00557669">
      <w:pPr>
        <w:tabs>
          <w:tab w:val="left" w:pos="709"/>
        </w:tabs>
        <w:ind w:firstLine="851"/>
        <w:jc w:val="both"/>
        <w:rPr>
          <w:color w:val="auto"/>
          <w:lang w:val="sr-Cyrl-RS"/>
        </w:rPr>
      </w:pPr>
      <w:r w:rsidRPr="00E16F6D">
        <w:rPr>
          <w:color w:val="auto"/>
          <w:lang w:val="sr-Cyrl-RS"/>
        </w:rPr>
        <w:t xml:space="preserve">Уколико из оправданог разлога корисник средстава не може да реализује набавку котла </w:t>
      </w:r>
      <w:r>
        <w:rPr>
          <w:color w:val="auto"/>
          <w:lang w:val="sr-Cyrl-RS"/>
        </w:rPr>
        <w:t xml:space="preserve">по профактури </w:t>
      </w:r>
      <w:r w:rsidRPr="00E16F6D">
        <w:rPr>
          <w:color w:val="auto"/>
          <w:lang w:val="sr-Cyrl-RS"/>
        </w:rPr>
        <w:t xml:space="preserve">од одабраног правног субјекта, има право да изврши набавку котла од </w:t>
      </w:r>
      <w:r>
        <w:rPr>
          <w:color w:val="auto"/>
          <w:lang w:val="sr-Cyrl-RS"/>
        </w:rPr>
        <w:t xml:space="preserve">истог или </w:t>
      </w:r>
      <w:r w:rsidRPr="00E16F6D">
        <w:rPr>
          <w:color w:val="auto"/>
          <w:lang w:val="sr-Cyrl-RS"/>
        </w:rPr>
        <w:t xml:space="preserve">другог правног субјекта истих или бољих карактеристика. </w:t>
      </w:r>
    </w:p>
    <w:p w:rsidR="00557669" w:rsidRDefault="00557669" w:rsidP="00557669">
      <w:pPr>
        <w:tabs>
          <w:tab w:val="left" w:pos="709"/>
        </w:tabs>
        <w:ind w:firstLine="851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lastRenderedPageBreak/>
        <w:t>Кориснику средстава ће се признати износ за рефундацију по основу Решења уколико је износ по новој профактури већи од првобитно предложеног по профакури.</w:t>
      </w:r>
    </w:p>
    <w:p w:rsidR="00064656" w:rsidRPr="00281A9D" w:rsidRDefault="00092D55" w:rsidP="00557669">
      <w:pPr>
        <w:tabs>
          <w:tab w:val="left" w:pos="851"/>
        </w:tabs>
        <w:jc w:val="both"/>
        <w:rPr>
          <w:lang w:val="sr-Cyrl-RS"/>
        </w:rPr>
      </w:pPr>
      <w:r>
        <w:rPr>
          <w:color w:val="auto"/>
          <w:lang w:val="sr-Cyrl-RS"/>
        </w:rPr>
        <w:tab/>
      </w:r>
      <w:r w:rsidR="00557669">
        <w:rPr>
          <w:color w:val="auto"/>
          <w:lang w:val="sr-Cyrl-RS"/>
        </w:rPr>
        <w:t xml:space="preserve">Уколико је износ по новој профактури мањи од првобитно предложеног по профактури, одобрени износ за исплату ће бити на основу нове профактуре  </w:t>
      </w:r>
      <w:r w:rsidR="00557669" w:rsidRPr="00EC7CE9">
        <w:rPr>
          <w:lang w:val="sr-Cyrl-RS"/>
        </w:rPr>
        <w:t>У овом случају ће се закључити анекс уговора између Града Ниша и корисника средстава</w:t>
      </w:r>
    </w:p>
    <w:p w:rsidR="00064656" w:rsidRPr="000E4245" w:rsidRDefault="00AE71FC" w:rsidP="00AE71FC">
      <w:pPr>
        <w:pStyle w:val="ListParagraph"/>
        <w:tabs>
          <w:tab w:val="left" w:pos="851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  <w:r w:rsidR="00064656"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Захтев за повраћај средстава мора се поднети најкасније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8 дана од истека рока </w:t>
      </w:r>
      <w:r w:rsidR="00064656"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реализације предвиђене инвестиције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Канцеларији за локални економски развој, ул. Генерала Милојка Лешјанина 39</w:t>
      </w:r>
      <w:r w:rsidR="00064656" w:rsidRPr="000E424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 Исплата средстава извршиће се у року од 45 дана од дана подношења захтева за повраћај средстава.</w:t>
      </w:r>
    </w:p>
    <w:p w:rsidR="00AD2728" w:rsidRPr="000E4245" w:rsidRDefault="00AD2728" w:rsidP="00AD2728">
      <w:pPr>
        <w:ind w:left="6480" w:firstLine="720"/>
        <w:jc w:val="both"/>
        <w:rPr>
          <w:color w:val="000000" w:themeColor="text1"/>
          <w:lang w:val="sr-Cyrl-RS"/>
        </w:rPr>
      </w:pPr>
    </w:p>
    <w:sectPr w:rsidR="00AD2728" w:rsidRPr="000E4245" w:rsidSect="00D1187A">
      <w:headerReference w:type="default" r:id="rId17"/>
      <w:headerReference w:type="first" r:id="rId18"/>
      <w:footerReference w:type="first" r:id="rId19"/>
      <w:pgSz w:w="11900" w:h="16840"/>
      <w:pgMar w:top="28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43" w:rsidRDefault="00D15043">
      <w:r>
        <w:separator/>
      </w:r>
    </w:p>
  </w:endnote>
  <w:endnote w:type="continuationSeparator" w:id="0">
    <w:p w:rsidR="00D15043" w:rsidRDefault="00D1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5F" w:rsidRDefault="00740C5F">
    <w:pPr>
      <w:pStyle w:val="Footer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________________________________________________________________________________________________________________________________________________________________________________________________</w:t>
    </w:r>
  </w:p>
  <w:p w:rsidR="00740C5F" w:rsidRDefault="00740C5F">
    <w:pPr>
      <w:pStyle w:val="Footer"/>
      <w:jc w:val="center"/>
    </w:pPr>
    <w:r>
      <w:rPr>
        <w:sz w:val="20"/>
        <w:szCs w:val="20"/>
      </w:rPr>
      <w:t>18 000 НИШ</w:t>
    </w:r>
    <w:proofErr w:type="gramStart"/>
    <w:r>
      <w:rPr>
        <w:sz w:val="20"/>
        <w:szCs w:val="20"/>
      </w:rPr>
      <w:t>,  УЛ</w:t>
    </w:r>
    <w:proofErr w:type="gramEnd"/>
    <w:r>
      <w:rPr>
        <w:sz w:val="20"/>
        <w:szCs w:val="20"/>
      </w:rPr>
      <w:t>. 7. ЈУЛИ БР. 2, ТЕЛ: 018/504-411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43" w:rsidRDefault="00D15043">
      <w:r>
        <w:separator/>
      </w:r>
    </w:p>
  </w:footnote>
  <w:footnote w:type="continuationSeparator" w:id="0">
    <w:p w:rsidR="00D15043" w:rsidRDefault="00D15043">
      <w:r>
        <w:continuationSeparator/>
      </w:r>
    </w:p>
  </w:footnote>
  <w:footnote w:id="1">
    <w:p w:rsidR="00C82AC8" w:rsidRPr="00910B73" w:rsidRDefault="00C82AC8" w:rsidP="00C82AC8">
      <w:pPr>
        <w:pStyle w:val="FootnoteText"/>
        <w:jc w:val="both"/>
        <w:rPr>
          <w:sz w:val="18"/>
          <w:szCs w:val="18"/>
          <w:lang w:val="sr-Latn-RS"/>
        </w:rPr>
      </w:pPr>
      <w:r w:rsidRPr="00910B73">
        <w:rPr>
          <w:rStyle w:val="FootnoteReference"/>
          <w:sz w:val="18"/>
          <w:szCs w:val="18"/>
        </w:rPr>
        <w:footnoteRef/>
      </w:r>
      <w:r w:rsidRPr="00910B73">
        <w:rPr>
          <w:sz w:val="18"/>
          <w:szCs w:val="18"/>
        </w:rPr>
        <w:t xml:space="preserve">   </w:t>
      </w:r>
      <w:proofErr w:type="spellStart"/>
      <w:r w:rsidRPr="00910B73">
        <w:rPr>
          <w:sz w:val="18"/>
          <w:szCs w:val="18"/>
        </w:rPr>
        <w:t>Максимално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учешће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Града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се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сматра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фиксним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износом</w:t>
      </w:r>
      <w:proofErr w:type="spellEnd"/>
      <w:r w:rsidRPr="00910B73">
        <w:rPr>
          <w:sz w:val="18"/>
          <w:szCs w:val="18"/>
        </w:rPr>
        <w:t xml:space="preserve">, </w:t>
      </w:r>
      <w:proofErr w:type="spellStart"/>
      <w:r w:rsidRPr="00910B73">
        <w:rPr>
          <w:sz w:val="18"/>
          <w:szCs w:val="18"/>
        </w:rPr>
        <w:t>који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је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непроменљив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независно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од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тога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да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ли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је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добављач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опреме</w:t>
      </w:r>
      <w:proofErr w:type="spellEnd"/>
      <w:r w:rsidRPr="00910B73">
        <w:rPr>
          <w:sz w:val="18"/>
          <w:szCs w:val="18"/>
        </w:rPr>
        <w:t xml:space="preserve"> у </w:t>
      </w:r>
      <w:proofErr w:type="spellStart"/>
      <w:r w:rsidRPr="00910B73">
        <w:rPr>
          <w:sz w:val="18"/>
          <w:szCs w:val="18"/>
        </w:rPr>
        <w:t>систему</w:t>
      </w:r>
      <w:proofErr w:type="spellEnd"/>
      <w:r w:rsidRPr="00910B73">
        <w:rPr>
          <w:sz w:val="18"/>
          <w:szCs w:val="18"/>
        </w:rPr>
        <w:t xml:space="preserve"> ПДВ </w:t>
      </w:r>
      <w:proofErr w:type="spellStart"/>
      <w:r w:rsidRPr="00910B73">
        <w:rPr>
          <w:sz w:val="18"/>
          <w:szCs w:val="18"/>
        </w:rPr>
        <w:t>или</w:t>
      </w:r>
      <w:proofErr w:type="spellEnd"/>
      <w:r w:rsidRPr="00910B73">
        <w:rPr>
          <w:sz w:val="18"/>
          <w:szCs w:val="18"/>
        </w:rPr>
        <w:t xml:space="preserve"> </w:t>
      </w:r>
      <w:proofErr w:type="spellStart"/>
      <w:r w:rsidRPr="00910B73">
        <w:rPr>
          <w:sz w:val="18"/>
          <w:szCs w:val="18"/>
        </w:rPr>
        <w:t>не</w:t>
      </w:r>
      <w:proofErr w:type="spellEnd"/>
    </w:p>
  </w:footnote>
  <w:footnote w:id="2">
    <w:p w:rsidR="003205A4" w:rsidRPr="006E1E62" w:rsidRDefault="003205A4" w:rsidP="003205A4">
      <w:pPr>
        <w:pStyle w:val="FootnoteText"/>
        <w:jc w:val="both"/>
        <w:rPr>
          <w:sz w:val="16"/>
          <w:szCs w:val="16"/>
          <w:lang w:val="sr-Cyrl-RS"/>
        </w:rPr>
      </w:pPr>
      <w:r w:rsidRPr="006E1E62">
        <w:rPr>
          <w:rStyle w:val="FootnoteReference"/>
          <w:lang w:val="sr-Cyrl-RS"/>
        </w:rPr>
        <w:footnoteRef/>
      </w:r>
      <w:r w:rsidRPr="006E1E62">
        <w:rPr>
          <w:lang w:val="sr-Cyrl-RS"/>
        </w:rPr>
        <w:t xml:space="preserve"> </w:t>
      </w:r>
      <w:r w:rsidRPr="006E1E62">
        <w:rPr>
          <w:sz w:val="16"/>
          <w:szCs w:val="16"/>
          <w:lang w:val="sr-Cyrl-RS"/>
        </w:rPr>
        <w:t xml:space="preserve"> Орган Града по службеној дужности има обавезу да изврши увид, прибави и обради податке о чињеницама о којима се води службена евиденција, а који су неопходни у поступку одлучивања и то:</w:t>
      </w:r>
    </w:p>
    <w:p w:rsidR="003205A4" w:rsidRPr="006E1E62" w:rsidRDefault="003205A4" w:rsidP="003205A4">
      <w:pPr>
        <w:pStyle w:val="FootnoteText"/>
        <w:jc w:val="both"/>
        <w:rPr>
          <w:sz w:val="16"/>
          <w:szCs w:val="16"/>
          <w:lang w:val="sr-Cyrl-RS"/>
        </w:rPr>
      </w:pPr>
      <w:r w:rsidRPr="006E1E62">
        <w:rPr>
          <w:sz w:val="16"/>
          <w:szCs w:val="16"/>
          <w:lang w:val="sr-Cyrl-RS"/>
        </w:rPr>
        <w:t>-</w:t>
      </w:r>
      <w:r w:rsidRPr="006E1E62">
        <w:rPr>
          <w:sz w:val="16"/>
          <w:szCs w:val="16"/>
          <w:lang w:val="sr-Cyrl-RS"/>
        </w:rPr>
        <w:tab/>
        <w:t>уверење надлежног органа Града Ниша о измиреним обавезама по основу пореза на имовину;</w:t>
      </w:r>
    </w:p>
    <w:p w:rsidR="003205A4" w:rsidRPr="006E1E62" w:rsidRDefault="003205A4" w:rsidP="003205A4">
      <w:pPr>
        <w:pStyle w:val="FootnoteText"/>
        <w:jc w:val="both"/>
        <w:rPr>
          <w:lang w:val="sr-Cyrl-RS"/>
        </w:rPr>
      </w:pPr>
      <w:r w:rsidRPr="006E1E62">
        <w:rPr>
          <w:sz w:val="16"/>
          <w:szCs w:val="16"/>
          <w:lang w:val="sr-Cyrl-RS"/>
        </w:rPr>
        <w:t>-</w:t>
      </w:r>
      <w:r w:rsidRPr="006E1E62">
        <w:rPr>
          <w:sz w:val="16"/>
          <w:szCs w:val="16"/>
          <w:lang w:val="sr-Cyrl-RS"/>
        </w:rPr>
        <w:tab/>
        <w:t>извод из листа непокретности.</w:t>
      </w:r>
    </w:p>
    <w:p w:rsidR="003205A4" w:rsidRPr="006E1E62" w:rsidRDefault="003205A4" w:rsidP="003205A4">
      <w:pPr>
        <w:pStyle w:val="FootnoteText"/>
        <w:rPr>
          <w:lang w:val="sr-Latn-RS"/>
        </w:rPr>
      </w:pPr>
    </w:p>
  </w:footnote>
  <w:footnote w:id="3">
    <w:p w:rsidR="009B3294" w:rsidRPr="00C82AC8" w:rsidRDefault="009B3294" w:rsidP="009B3294">
      <w:pPr>
        <w:pStyle w:val="FootnoteText"/>
        <w:rPr>
          <w:sz w:val="16"/>
          <w:szCs w:val="16"/>
          <w:lang w:val="sr-Cyrl-RS"/>
        </w:rPr>
      </w:pPr>
      <w:r w:rsidRPr="00C82AC8">
        <w:rPr>
          <w:rStyle w:val="FootnoteReference"/>
          <w:sz w:val="16"/>
          <w:szCs w:val="16"/>
          <w:lang w:val="sr-Cyrl-RS"/>
        </w:rPr>
        <w:footnoteRef/>
      </w:r>
      <w:r w:rsidRPr="00C82AC8">
        <w:rPr>
          <w:sz w:val="16"/>
          <w:szCs w:val="16"/>
          <w:lang w:val="sr-Cyrl-RS"/>
        </w:rPr>
        <w:t xml:space="preserve"> Орган Града по службеној дужности има обавезу да изврши увид, прибави и обради податке о чињеницама о којима се води службена евиденција, а који су неопходни у поступку одлучивања и то:</w:t>
      </w:r>
    </w:p>
    <w:p w:rsidR="009B3294" w:rsidRPr="00C82AC8" w:rsidRDefault="009B3294" w:rsidP="009B3294">
      <w:pPr>
        <w:pStyle w:val="FootnoteText"/>
        <w:rPr>
          <w:sz w:val="16"/>
          <w:szCs w:val="16"/>
          <w:lang w:val="sr-Cyrl-RS"/>
        </w:rPr>
      </w:pPr>
      <w:r w:rsidRPr="00C82AC8">
        <w:rPr>
          <w:sz w:val="16"/>
          <w:szCs w:val="16"/>
          <w:lang w:val="sr-Cyrl-RS"/>
        </w:rPr>
        <w:t>-</w:t>
      </w:r>
      <w:r w:rsidRPr="00C82AC8">
        <w:rPr>
          <w:sz w:val="16"/>
          <w:szCs w:val="16"/>
          <w:lang w:val="sr-Cyrl-RS"/>
        </w:rPr>
        <w:tab/>
        <w:t>уверење надлежног органа Града Ниша о измиреним обавезама по основу пореза на имовину;</w:t>
      </w:r>
    </w:p>
    <w:p w:rsidR="009B3294" w:rsidRPr="00C82AC8" w:rsidRDefault="009B3294" w:rsidP="009B3294">
      <w:pPr>
        <w:pStyle w:val="FootnoteText"/>
        <w:rPr>
          <w:lang w:val="sr-Cyrl-RS"/>
        </w:rPr>
      </w:pPr>
      <w:r w:rsidRPr="00C82AC8">
        <w:rPr>
          <w:sz w:val="16"/>
          <w:szCs w:val="16"/>
          <w:lang w:val="sr-Cyrl-RS"/>
        </w:rPr>
        <w:t>-</w:t>
      </w:r>
      <w:r w:rsidRPr="00C82AC8">
        <w:rPr>
          <w:sz w:val="16"/>
          <w:szCs w:val="16"/>
          <w:lang w:val="sr-Cyrl-RS"/>
        </w:rPr>
        <w:tab/>
        <w:t>извод из листа непокретности.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5F" w:rsidRDefault="00740C5F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6EFA02EA" wp14:editId="084EBEB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style="position:absolute;margin-left:0;margin-top:0;width:595pt;height:842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aO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c05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5F" w:rsidRDefault="00740C5F">
    <w:pPr>
      <w:pStyle w:val="Header"/>
      <w:tabs>
        <w:tab w:val="clear" w:pos="4320"/>
        <w:tab w:val="clear" w:pos="8640"/>
      </w:tabs>
      <w:ind w:left="1560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FF69DE3" wp14:editId="4313E488">
              <wp:simplePos x="0" y="0"/>
              <wp:positionH relativeFrom="page">
                <wp:posOffset>-36576</wp:posOffset>
              </wp:positionH>
              <wp:positionV relativeFrom="page">
                <wp:posOffset>0</wp:posOffset>
              </wp:positionV>
              <wp:extent cx="7556500" cy="10693400"/>
              <wp:effectExtent l="0" t="0" r="635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style="position:absolute;margin-left:-2.9pt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bk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S05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0FA"/>
    <w:multiLevelType w:val="hybridMultilevel"/>
    <w:tmpl w:val="F9E8E5B6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B0A3C"/>
    <w:multiLevelType w:val="hybridMultilevel"/>
    <w:tmpl w:val="9B0468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7A30FF9"/>
    <w:multiLevelType w:val="multilevel"/>
    <w:tmpl w:val="ED82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25B3DE3"/>
    <w:multiLevelType w:val="hybridMultilevel"/>
    <w:tmpl w:val="67F6A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967C2"/>
    <w:multiLevelType w:val="hybridMultilevel"/>
    <w:tmpl w:val="81669582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25F96"/>
    <w:multiLevelType w:val="hybridMultilevel"/>
    <w:tmpl w:val="78CEE168"/>
    <w:lvl w:ilvl="0" w:tplc="0409000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9">
    <w:nsid w:val="2FE93800"/>
    <w:multiLevelType w:val="hybridMultilevel"/>
    <w:tmpl w:val="1FE4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7578F"/>
    <w:multiLevelType w:val="hybridMultilevel"/>
    <w:tmpl w:val="C4AE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D4D47"/>
    <w:multiLevelType w:val="hybridMultilevel"/>
    <w:tmpl w:val="3A540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920F9"/>
    <w:multiLevelType w:val="hybridMultilevel"/>
    <w:tmpl w:val="3CE8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37AEA"/>
    <w:multiLevelType w:val="hybridMultilevel"/>
    <w:tmpl w:val="3C8E84B6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>
    <w:nsid w:val="456444CD"/>
    <w:multiLevelType w:val="hybridMultilevel"/>
    <w:tmpl w:val="B5DA1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075CE"/>
    <w:multiLevelType w:val="hybridMultilevel"/>
    <w:tmpl w:val="8660B00E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6">
    <w:nsid w:val="54917A73"/>
    <w:multiLevelType w:val="hybridMultilevel"/>
    <w:tmpl w:val="12080276"/>
    <w:lvl w:ilvl="0" w:tplc="BE680C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531D9"/>
    <w:multiLevelType w:val="hybridMultilevel"/>
    <w:tmpl w:val="09BCD86C"/>
    <w:lvl w:ilvl="0" w:tplc="0C1A001B">
      <w:start w:val="1"/>
      <w:numFmt w:val="lowerRoman"/>
      <w:lvlText w:val="%1."/>
      <w:lvlJc w:val="right"/>
      <w:pPr>
        <w:ind w:left="3000" w:hanging="18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19677DC"/>
    <w:multiLevelType w:val="hybridMultilevel"/>
    <w:tmpl w:val="4A482AB0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9">
    <w:nsid w:val="61A82647"/>
    <w:multiLevelType w:val="hybridMultilevel"/>
    <w:tmpl w:val="81669582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51810"/>
    <w:multiLevelType w:val="hybridMultilevel"/>
    <w:tmpl w:val="7D744FD8"/>
    <w:lvl w:ilvl="0" w:tplc="AEB85D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113A3"/>
    <w:multiLevelType w:val="hybridMultilevel"/>
    <w:tmpl w:val="213AFB48"/>
    <w:lvl w:ilvl="0" w:tplc="6666E4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810B7"/>
    <w:multiLevelType w:val="hybridMultilevel"/>
    <w:tmpl w:val="F7AE6E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A6006FA"/>
    <w:multiLevelType w:val="hybridMultilevel"/>
    <w:tmpl w:val="38D253D4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836E5"/>
    <w:multiLevelType w:val="hybridMultilevel"/>
    <w:tmpl w:val="5596F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87F73"/>
    <w:multiLevelType w:val="hybridMultilevel"/>
    <w:tmpl w:val="757A4A8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8"/>
  </w:num>
  <w:num w:numId="5">
    <w:abstractNumId w:val="16"/>
  </w:num>
  <w:num w:numId="6">
    <w:abstractNumId w:val="25"/>
  </w:num>
  <w:num w:numId="7">
    <w:abstractNumId w:val="4"/>
  </w:num>
  <w:num w:numId="8">
    <w:abstractNumId w:val="1"/>
  </w:num>
  <w:num w:numId="9">
    <w:abstractNumId w:val="12"/>
  </w:num>
  <w:num w:numId="10">
    <w:abstractNumId w:val="21"/>
  </w:num>
  <w:num w:numId="11">
    <w:abstractNumId w:val="11"/>
  </w:num>
  <w:num w:numId="12">
    <w:abstractNumId w:val="2"/>
  </w:num>
  <w:num w:numId="13">
    <w:abstractNumId w:val="20"/>
  </w:num>
  <w:num w:numId="14">
    <w:abstractNumId w:val="23"/>
  </w:num>
  <w:num w:numId="15">
    <w:abstractNumId w:val="3"/>
  </w:num>
  <w:num w:numId="16">
    <w:abstractNumId w:val="26"/>
  </w:num>
  <w:num w:numId="17">
    <w:abstractNumId w:val="5"/>
  </w:num>
  <w:num w:numId="18">
    <w:abstractNumId w:val="10"/>
  </w:num>
  <w:num w:numId="19">
    <w:abstractNumId w:val="6"/>
  </w:num>
  <w:num w:numId="20">
    <w:abstractNumId w:val="14"/>
  </w:num>
  <w:num w:numId="21">
    <w:abstractNumId w:val="9"/>
  </w:num>
  <w:num w:numId="22">
    <w:abstractNumId w:val="24"/>
  </w:num>
  <w:num w:numId="23">
    <w:abstractNumId w:val="13"/>
  </w:num>
  <w:num w:numId="24">
    <w:abstractNumId w:val="17"/>
  </w:num>
  <w:num w:numId="25">
    <w:abstractNumId w:val="0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6B0C"/>
    <w:rsid w:val="00000E1F"/>
    <w:rsid w:val="00017398"/>
    <w:rsid w:val="000537E9"/>
    <w:rsid w:val="00055F90"/>
    <w:rsid w:val="00064656"/>
    <w:rsid w:val="00081A9E"/>
    <w:rsid w:val="00092D55"/>
    <w:rsid w:val="000967CA"/>
    <w:rsid w:val="000C0EC6"/>
    <w:rsid w:val="000E4245"/>
    <w:rsid w:val="000E5280"/>
    <w:rsid w:val="0011529C"/>
    <w:rsid w:val="00117E0E"/>
    <w:rsid w:val="001316B2"/>
    <w:rsid w:val="00132ADA"/>
    <w:rsid w:val="00163E31"/>
    <w:rsid w:val="00170984"/>
    <w:rsid w:val="00184CB7"/>
    <w:rsid w:val="001C2FEF"/>
    <w:rsid w:val="001F02EB"/>
    <w:rsid w:val="00211CDB"/>
    <w:rsid w:val="002178F4"/>
    <w:rsid w:val="00254406"/>
    <w:rsid w:val="002624F6"/>
    <w:rsid w:val="00281A9D"/>
    <w:rsid w:val="00295409"/>
    <w:rsid w:val="002D47E4"/>
    <w:rsid w:val="002D6D30"/>
    <w:rsid w:val="00302FBD"/>
    <w:rsid w:val="00315EF0"/>
    <w:rsid w:val="003205A4"/>
    <w:rsid w:val="003512A4"/>
    <w:rsid w:val="003665FA"/>
    <w:rsid w:val="00366B0C"/>
    <w:rsid w:val="00370BD7"/>
    <w:rsid w:val="00371D79"/>
    <w:rsid w:val="003A07C5"/>
    <w:rsid w:val="003C1839"/>
    <w:rsid w:val="003F13A0"/>
    <w:rsid w:val="00402F9B"/>
    <w:rsid w:val="00425F6D"/>
    <w:rsid w:val="00426020"/>
    <w:rsid w:val="0042628B"/>
    <w:rsid w:val="00436FB0"/>
    <w:rsid w:val="0044735B"/>
    <w:rsid w:val="00466BA6"/>
    <w:rsid w:val="004939FB"/>
    <w:rsid w:val="00502E38"/>
    <w:rsid w:val="00520A78"/>
    <w:rsid w:val="00523BED"/>
    <w:rsid w:val="0054559E"/>
    <w:rsid w:val="00545A56"/>
    <w:rsid w:val="00557669"/>
    <w:rsid w:val="005619EB"/>
    <w:rsid w:val="005863A7"/>
    <w:rsid w:val="005934A3"/>
    <w:rsid w:val="005C6470"/>
    <w:rsid w:val="005D6293"/>
    <w:rsid w:val="005F1D72"/>
    <w:rsid w:val="005F30FF"/>
    <w:rsid w:val="005F5E91"/>
    <w:rsid w:val="00602275"/>
    <w:rsid w:val="00614295"/>
    <w:rsid w:val="00620CC3"/>
    <w:rsid w:val="0062143E"/>
    <w:rsid w:val="0063197B"/>
    <w:rsid w:val="006977B3"/>
    <w:rsid w:val="006A0427"/>
    <w:rsid w:val="006A0BFA"/>
    <w:rsid w:val="006C6D13"/>
    <w:rsid w:val="006C7332"/>
    <w:rsid w:val="00713F2E"/>
    <w:rsid w:val="00722249"/>
    <w:rsid w:val="00740C5F"/>
    <w:rsid w:val="007C2233"/>
    <w:rsid w:val="007C4231"/>
    <w:rsid w:val="007E6604"/>
    <w:rsid w:val="007E689F"/>
    <w:rsid w:val="007F6E10"/>
    <w:rsid w:val="008014D1"/>
    <w:rsid w:val="00831EE9"/>
    <w:rsid w:val="008500CE"/>
    <w:rsid w:val="008667E4"/>
    <w:rsid w:val="008A2271"/>
    <w:rsid w:val="008B023C"/>
    <w:rsid w:val="008B5A24"/>
    <w:rsid w:val="0091430E"/>
    <w:rsid w:val="009320C9"/>
    <w:rsid w:val="00954F7B"/>
    <w:rsid w:val="009800EF"/>
    <w:rsid w:val="009A1726"/>
    <w:rsid w:val="009A3463"/>
    <w:rsid w:val="009B3294"/>
    <w:rsid w:val="009F0E33"/>
    <w:rsid w:val="00A31DAA"/>
    <w:rsid w:val="00A42E5B"/>
    <w:rsid w:val="00A5159F"/>
    <w:rsid w:val="00A620DE"/>
    <w:rsid w:val="00A62669"/>
    <w:rsid w:val="00AA091C"/>
    <w:rsid w:val="00AA39FC"/>
    <w:rsid w:val="00AB20AD"/>
    <w:rsid w:val="00AD26B9"/>
    <w:rsid w:val="00AD2728"/>
    <w:rsid w:val="00AE71FC"/>
    <w:rsid w:val="00AF27D3"/>
    <w:rsid w:val="00B00682"/>
    <w:rsid w:val="00B2192D"/>
    <w:rsid w:val="00B36F70"/>
    <w:rsid w:val="00B41165"/>
    <w:rsid w:val="00B839F2"/>
    <w:rsid w:val="00B85985"/>
    <w:rsid w:val="00B9005F"/>
    <w:rsid w:val="00B95FC5"/>
    <w:rsid w:val="00BB4305"/>
    <w:rsid w:val="00BC0877"/>
    <w:rsid w:val="00BF0790"/>
    <w:rsid w:val="00BF1008"/>
    <w:rsid w:val="00BF6582"/>
    <w:rsid w:val="00C07F6B"/>
    <w:rsid w:val="00C15E83"/>
    <w:rsid w:val="00C30CD8"/>
    <w:rsid w:val="00C34C7F"/>
    <w:rsid w:val="00C81BB4"/>
    <w:rsid w:val="00C82AC8"/>
    <w:rsid w:val="00CB6B08"/>
    <w:rsid w:val="00CE38B0"/>
    <w:rsid w:val="00CE4C4F"/>
    <w:rsid w:val="00D1187A"/>
    <w:rsid w:val="00D15043"/>
    <w:rsid w:val="00D44969"/>
    <w:rsid w:val="00D733DB"/>
    <w:rsid w:val="00DC2121"/>
    <w:rsid w:val="00DF63C0"/>
    <w:rsid w:val="00DF7E4D"/>
    <w:rsid w:val="00E21DCF"/>
    <w:rsid w:val="00E23CFD"/>
    <w:rsid w:val="00E46302"/>
    <w:rsid w:val="00E51892"/>
    <w:rsid w:val="00E6237F"/>
    <w:rsid w:val="00E755B1"/>
    <w:rsid w:val="00E913E3"/>
    <w:rsid w:val="00EE59C7"/>
    <w:rsid w:val="00EF51AB"/>
    <w:rsid w:val="00F37E4F"/>
    <w:rsid w:val="00F444BC"/>
    <w:rsid w:val="00F62168"/>
    <w:rsid w:val="00F822FE"/>
    <w:rsid w:val="00F83296"/>
    <w:rsid w:val="00F85228"/>
    <w:rsid w:val="00FA3F88"/>
    <w:rsid w:val="00FC64BA"/>
    <w:rsid w:val="00FC70E1"/>
    <w:rsid w:val="00FC789E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82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BF6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cs="Arial Unicode MS"/>
      <w:color w:val="000000"/>
      <w:sz w:val="24"/>
      <w:szCs w:val="24"/>
      <w:u w:color="000000"/>
      <w:bdr w:val="none" w:sz="0" w:space="0" w:color="auto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262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262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F5E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E91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5F5E91"/>
    <w:rPr>
      <w:vertAlign w:val="superscript"/>
    </w:rPr>
  </w:style>
  <w:style w:type="table" w:customStyle="1" w:styleId="TableGrid0">
    <w:name w:val="TableGrid"/>
    <w:rsid w:val="00EE5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E46302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426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020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020"/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82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BF6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cs="Arial Unicode MS"/>
      <w:color w:val="000000"/>
      <w:sz w:val="24"/>
      <w:szCs w:val="24"/>
      <w:u w:color="000000"/>
      <w:bdr w:val="none" w:sz="0" w:space="0" w:color="auto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262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262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F5E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E91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5F5E91"/>
    <w:rPr>
      <w:vertAlign w:val="superscript"/>
    </w:rPr>
  </w:style>
  <w:style w:type="table" w:customStyle="1" w:styleId="TableGrid0">
    <w:name w:val="TableGrid"/>
    <w:rsid w:val="00EE5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E46302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426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020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020"/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.r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nvestnis.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nvestnis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i.rs" TargetMode="External"/><Relationship Id="rId10" Type="http://schemas.openxmlformats.org/officeDocument/2006/relationships/hyperlink" Target="http://www.investnis.rs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i.rs" TargetMode="External"/><Relationship Id="rId14" Type="http://schemas.openxmlformats.org/officeDocument/2006/relationships/hyperlink" Target="http://www.investnis.r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469E-CE31-430F-B03D-B82F481B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Pavlović</dc:creator>
  <cp:lastModifiedBy>Ivan Pavlović</cp:lastModifiedBy>
  <cp:revision>2</cp:revision>
  <cp:lastPrinted>2021-06-01T12:08:00Z</cp:lastPrinted>
  <dcterms:created xsi:type="dcterms:W3CDTF">2023-10-30T12:44:00Z</dcterms:created>
  <dcterms:modified xsi:type="dcterms:W3CDTF">2023-10-30T12:44:00Z</dcterms:modified>
</cp:coreProperties>
</file>